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15</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311795</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Chicago, USA, November</w:t>
      </w:r>
      <w:r>
        <w:rPr>
          <w:rFonts w:ascii="Arial" w:hAnsi="Arial" w:eastAsia="MS Mincho" w:cs="Arial"/>
          <w:b/>
          <w:bCs/>
          <w:sz w:val="28"/>
          <w:lang w:eastAsia="ja-JP"/>
        </w:rPr>
        <w:t xml:space="preserve"> </w:t>
      </w:r>
      <w:r>
        <w:rPr>
          <w:rFonts w:hint="eastAsia" w:ascii="Arial" w:hAnsi="Arial" w:cs="Arial"/>
          <w:b/>
          <w:bCs/>
          <w:sz w:val="28"/>
          <w:lang w:val="en-US" w:eastAsia="zh-CN"/>
        </w:rPr>
        <w:t>13</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November 17</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8.2.1.1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9"/>
      <w:r>
        <w:rPr>
          <w:rFonts w:hint="eastAsia"/>
          <w:b/>
          <w:lang w:val="en-US" w:eastAsia="zh-CN"/>
        </w:rPr>
        <w:t>Remaining issues</w:t>
      </w:r>
      <w:r>
        <w:rPr>
          <w:rFonts w:hint="eastAsia"/>
          <w:b/>
        </w:rPr>
        <w:t xml:space="preserve"> of channel access mechanism for sidelink in unlicensed spectrum</w:t>
      </w:r>
      <w:bookmarkEnd w:id="0"/>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1"/>
                <w:numId w:val="8"/>
              </w:numPr>
              <w:suppressLineNumbers w:val="0"/>
              <w:spacing w:beforeAutospacing="0" w:afterAutospacing="0"/>
              <w:ind w:right="0"/>
              <w:rPr>
                <w:rFonts w:hint="eastAsia"/>
                <w:color w:val="0000FF"/>
              </w:rPr>
            </w:pPr>
            <w:r>
              <w:rPr>
                <w:rFonts w:hint="eastAsia"/>
                <w:color w:val="0000FF"/>
              </w:rPr>
              <w:t>Objective of SI or Core part WI or Testing part WI</w:t>
            </w:r>
          </w:p>
          <w:p>
            <w:pPr>
              <w:keepNext w:val="0"/>
              <w:keepLines w:val="0"/>
              <w:widowControl w:val="0"/>
              <w:suppressLineNumbers w:val="0"/>
              <w:spacing w:before="120" w:beforeAutospacing="0" w:after="0" w:afterAutospacing="0"/>
              <w:ind w:left="0" w:right="0"/>
              <w:rPr>
                <w:rFonts w:hint="eastAsia" w:ascii="Times" w:hAnsi="Times" w:cs="Times"/>
              </w:rPr>
            </w:pPr>
            <w:r>
              <w:rPr>
                <w:rFonts w:hint="eastAsia" w:ascii="Times" w:hAnsi="Times" w:cs="Times"/>
              </w:rPr>
              <w:t>To check in RAN#97 for objectives 1 and 3, taking into account the progress on objectives 2 and 4, aiming to have specification work for both objective 1 and 3.</w:t>
            </w:r>
          </w:p>
          <w:p>
            <w:pPr>
              <w:keepNext w:val="0"/>
              <w:keepLines w:val="0"/>
              <w:widowControl w:val="0"/>
              <w:suppressLineNumbers w:val="0"/>
              <w:spacing w:before="120" w:beforeAutospacing="0" w:after="0" w:afterAutospacing="0"/>
              <w:ind w:left="0" w:right="0"/>
              <w:jc w:val="center"/>
              <w:rPr>
                <w:rFonts w:hint="default" w:ascii="Times" w:hAnsi="Times" w:eastAsia="宋体" w:cs="Times"/>
                <w:lang w:val="en-US" w:eastAsia="zh-CN"/>
              </w:rPr>
            </w:pPr>
            <w:r>
              <w:rPr>
                <w:rFonts w:hint="eastAsia" w:ascii="Times" w:hAnsi="Times" w:cs="Times"/>
                <w:lang w:val="en-US" w:eastAsia="zh-CN"/>
              </w:rPr>
              <w:t>......</w:t>
            </w:r>
          </w:p>
          <w:p>
            <w:pPr>
              <w:keepNext w:val="0"/>
              <w:keepLines w:val="0"/>
              <w:widowControl w:val="0"/>
              <w:numPr>
                <w:ilvl w:val="0"/>
                <w:numId w:val="9"/>
              </w:numPr>
              <w:suppressLineNumbers w:val="0"/>
              <w:spacing w:before="120" w:beforeAutospacing="0" w:after="0" w:afterAutospacing="0"/>
              <w:ind w:left="426" w:right="0" w:hanging="284"/>
              <w:rPr>
                <w:rFonts w:hint="eastAsia" w:ascii="Times" w:hAnsi="Times" w:cs="Times"/>
              </w:rPr>
            </w:pPr>
            <w:r>
              <w:rPr>
                <w:rFonts w:hint="eastAsia" w:ascii="Times" w:hAnsi="Times" w:cs="Times"/>
              </w:rPr>
              <w:t>Study and specify support of sidelink on unlicensed spectrum for both mode 1 and mode 2 where Uu operation for mode 1 is limited to licensed spectrum only [RAN1, RAN2, RAN4]</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r>
              <w:rPr>
                <w:rFonts w:hint="eastAsia" w:ascii="Times" w:hAnsi="Times" w:cs="Times"/>
                <w:lang w:eastAsia="ko-KR"/>
              </w:rPr>
              <w:t>Channel access mechanisms from NR-U shall be reused for sidelink unlicensed operation</w:t>
            </w:r>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2" w:name="_Hlk89917081"/>
            <w:r>
              <w:rPr>
                <w:rFonts w:hint="eastAsia" w:ascii="Times" w:hAnsi="Times" w:cs="Times"/>
                <w:lang w:eastAsia="ko-KR"/>
              </w:rPr>
              <w:t>Assess the applicability of sidelink resource reservation from Rel-16/Rel-17 to sidelink unlicensed operation within the boundaries of unlicensed channel access mechanism and operation</w:t>
            </w:r>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No specific enhancements for Rel-17 resource allocation mechanisms</w:t>
            </w:r>
            <w:bookmarkEnd w:id="2"/>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If the existing NR-U channel access framework does not support the required SL-U functionality, WGs will make appropriate recommendations for RAN approval.</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3" w:name="_Hlk89917101"/>
            <w:r>
              <w:rPr>
                <w:rFonts w:hint="eastAsia" w:ascii="Times" w:hAnsi="Times" w:cs="Times"/>
                <w:lang w:eastAsia="ko-KR"/>
              </w:rPr>
              <w:t>Physical channel design framework: Required changes to NR sidelink physical channel structures and procedures to operate on unlicensed spectrum</w:t>
            </w:r>
            <w:bookmarkEnd w:id="3"/>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4" w:name="_Hlk89917118"/>
            <w:r>
              <w:rPr>
                <w:rFonts w:hint="eastAsia" w:ascii="Times" w:hAnsi="Times" w:cs="Times"/>
                <w:lang w:eastAsia="ko-KR"/>
              </w:rPr>
              <w:t xml:space="preserve">The existing NR sidelink and NR-U channel structure shall be reused </w:t>
            </w:r>
            <w:bookmarkEnd w:id="4"/>
            <w:r>
              <w:rPr>
                <w:rFonts w:hint="eastAsia" w:ascii="Times" w:hAnsi="Times" w:cs="Times"/>
                <w:lang w:eastAsia="ko-KR"/>
              </w:rPr>
              <w:t>as the baseline.</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5" w:name="_Hlk89917140"/>
            <w:r>
              <w:rPr>
                <w:rFonts w:hint="eastAsia" w:ascii="Times" w:hAnsi="Times" w:cs="Times"/>
                <w:lang w:eastAsia="ko-KR"/>
              </w:rPr>
              <w:t>No specific enhancements for existing NR SL feature</w:t>
            </w:r>
            <w:bookmarkEnd w:id="5"/>
          </w:p>
          <w:p>
            <w:pPr>
              <w:keepNext w:val="0"/>
              <w:keepLines w:val="0"/>
              <w:widowControl w:val="0"/>
              <w:numPr>
                <w:ilvl w:val="0"/>
                <w:numId w:val="10"/>
              </w:numPr>
              <w:suppressLineNumbers w:val="0"/>
              <w:spacing w:before="60" w:beforeAutospacing="0" w:after="60" w:afterAutospacing="0"/>
              <w:ind w:left="993" w:right="0" w:hanging="284"/>
              <w:rPr>
                <w:rFonts w:hint="eastAsia"/>
                <w:lang w:eastAsia="zh-CN"/>
              </w:rPr>
            </w:pPr>
            <w:r>
              <w:rPr>
                <w:rFonts w:hint="eastAsia" w:ascii="Times" w:hAnsi="Times" w:cs="Times"/>
                <w:lang w:eastAsia="ko-KR"/>
              </w:rPr>
              <w:t>The study should focus on FR1 unlicensed bands (n46 and n96/n102) and is to be completed by RAN#98</w:t>
            </w:r>
            <w:bookmarkStart w:id="6" w:name="_Hlk89917215"/>
            <w:r>
              <w:rPr>
                <w:rFonts w:hint="eastAsia" w:ascii="Times" w:hAnsi="Times" w:cs="Times"/>
                <w:lang w:eastAsia="ko-KR"/>
              </w:rPr>
              <w:t>.</w:t>
            </w:r>
            <w:bookmarkEnd w:id="6"/>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bookmarkStart w:id="7" w:name="OLE_LINK10"/>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w:t>
      </w:r>
      <w:bookmarkStart w:id="8" w:name="OLE_LINK2"/>
      <w:r>
        <w:rPr>
          <w:rFonts w:hint="eastAsia"/>
          <w:bCs/>
          <w:lang w:val="en-US" w:eastAsia="zh-CN"/>
        </w:rPr>
        <w:t>including channel access procedures, COT sharing and multi-channel access</w:t>
      </w:r>
      <w:bookmarkEnd w:id="7"/>
      <w:bookmarkEnd w:id="8"/>
      <w:r>
        <w:rPr>
          <w:rFonts w:hint="eastAsia"/>
          <w:bCs/>
          <w:lang w:val="en-US" w:eastAsia="zh-CN"/>
        </w:rPr>
        <w:t>.</w:t>
      </w:r>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Channel access procedures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Multiple nodes (eNB/gNB/UE/WiFi AP) using different radio access technologies need to coexist on unlicensed spectrum. And the coordination of resource scheduling among these nodes is not possible. To share the unlicensed spectrum fairly with LAA/WiFi, new channel access mechanisms are introduced in NR-U to assist in resource scheduling. Two channel access procedures are defined in NR-U specification: dynamic channel access procedure and semi-static channel access procedure.</w:t>
      </w:r>
    </w:p>
    <w:p>
      <w:pPr>
        <w:rPr>
          <w:rFonts w:hint="eastAsia"/>
          <w:b w:val="0"/>
          <w:bCs/>
          <w:i w:val="0"/>
          <w:iCs/>
          <w:strike w:val="0"/>
          <w:dstrike w:val="0"/>
          <w:szCs w:val="20"/>
          <w:lang w:val="en-US" w:eastAsia="zh-CN"/>
        </w:rPr>
      </w:pPr>
      <w:r>
        <w:rPr>
          <w:rFonts w:hint="default"/>
          <w:b w:val="0"/>
          <w:bCs/>
          <w:i w:val="0"/>
          <w:iCs/>
          <w:strike w:val="0"/>
          <w:dstrike w:val="0"/>
          <w:szCs w:val="20"/>
          <w:lang w:val="en-US" w:eastAsia="zh-CN"/>
        </w:rPr>
        <w:t>The key technology for the dynamic channel access proce</w:t>
      </w:r>
      <w:r>
        <w:rPr>
          <w:rFonts w:hint="eastAsia"/>
          <w:b w:val="0"/>
          <w:bCs/>
          <w:i w:val="0"/>
          <w:iCs/>
          <w:strike w:val="0"/>
          <w:dstrike w:val="0"/>
          <w:szCs w:val="20"/>
          <w:lang w:val="en-US" w:eastAsia="zh-CN"/>
        </w:rPr>
        <w:t>dure</w:t>
      </w:r>
      <w:r>
        <w:rPr>
          <w:rFonts w:hint="default"/>
          <w:b w:val="0"/>
          <w:bCs/>
          <w:i w:val="0"/>
          <w:iCs/>
          <w:strike w:val="0"/>
          <w:dstrike w:val="0"/>
          <w:szCs w:val="20"/>
          <w:lang w:val="en-US" w:eastAsia="zh-CN"/>
        </w:rPr>
        <w:t xml:space="preserve"> is listen-before-talk</w:t>
      </w:r>
      <w:r>
        <w:rPr>
          <w:rFonts w:hint="eastAsia"/>
          <w:b w:val="0"/>
          <w:bCs/>
          <w:i w:val="0"/>
          <w:iCs/>
          <w:strike w:val="0"/>
          <w:dstrike w:val="0"/>
          <w:szCs w:val="20"/>
          <w:lang w:val="en-US" w:eastAsia="zh-CN"/>
        </w:rPr>
        <w:t xml:space="preserve"> (LBT)</w:t>
      </w:r>
      <w:r>
        <w:rPr>
          <w:rFonts w:hint="default"/>
          <w:b w:val="0"/>
          <w:bCs/>
          <w:i w:val="0"/>
          <w:iCs/>
          <w:strike w:val="0"/>
          <w:dstrike w:val="0"/>
          <w:szCs w:val="20"/>
          <w:lang w:val="en-US" w:eastAsia="zh-CN"/>
        </w:rPr>
        <w:t xml:space="preserve">, in which </w:t>
      </w:r>
      <w:r>
        <w:rPr>
          <w:rFonts w:hint="eastAsia"/>
          <w:b w:val="0"/>
          <w:bCs/>
          <w:i w:val="0"/>
          <w:iCs/>
          <w:strike w:val="0"/>
          <w:dstrike w:val="0"/>
          <w:szCs w:val="20"/>
          <w:lang w:val="en-US" w:eastAsia="zh-CN"/>
        </w:rPr>
        <w:t>the transmitter needs to evaluate the channel availability</w:t>
      </w:r>
      <w:r>
        <w:rPr>
          <w:rFonts w:hint="default"/>
          <w:b w:val="0"/>
          <w:bCs/>
          <w:i w:val="0"/>
          <w:iCs/>
          <w:strike w:val="0"/>
          <w:dstrike w:val="0"/>
          <w:szCs w:val="20"/>
          <w:lang w:val="en-US" w:eastAsia="zh-CN"/>
        </w:rPr>
        <w:t xml:space="preserve"> prior to transmission and uses random back-off time in </w:t>
      </w:r>
      <w:r>
        <w:rPr>
          <w:rFonts w:hint="eastAsia"/>
          <w:b w:val="0"/>
          <w:bCs/>
          <w:i w:val="0"/>
          <w:iCs/>
          <w:strike w:val="0"/>
          <w:dstrike w:val="0"/>
          <w:szCs w:val="20"/>
          <w:lang w:val="en-US" w:eastAsia="zh-CN"/>
        </w:rPr>
        <w:t>case</w:t>
      </w:r>
      <w:r>
        <w:rPr>
          <w:rFonts w:hint="default"/>
          <w:b w:val="0"/>
          <w:bCs/>
          <w:i w:val="0"/>
          <w:iCs/>
          <w:strike w:val="0"/>
          <w:dstrike w:val="0"/>
          <w:szCs w:val="20"/>
          <w:lang w:val="en-US" w:eastAsia="zh-CN"/>
        </w:rPr>
        <w:t xml:space="preserve"> of conflict.</w:t>
      </w:r>
      <w:r>
        <w:rPr>
          <w:rFonts w:hint="eastAsia"/>
          <w:b w:val="0"/>
          <w:bCs/>
          <w:i w:val="0"/>
          <w:iCs/>
          <w:strike w:val="0"/>
          <w:dstrike w:val="0"/>
          <w:szCs w:val="20"/>
          <w:lang w:val="en-US" w:eastAsia="zh-CN"/>
        </w:rPr>
        <w:t xml:space="preserve"> Two types of dynamic channel access procedure are defined in the NR specification: Type 1 DL/UL channel access procedure and Type 2 DL/UL channel access procedure. The former is used to start DL or UL transmission at the beginning of the COT, while the later is used for COT sharing and DRS transmission. According to the duration of the transmission gap in the COT, Type 2 channel access procedures has three sub-types: </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2A, used when the transmission gap in the COT is 25us or greater (FBE), or for DRS transmission;</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2B, used when the transmission gap in the COT is 16us;</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2C, used when the transmission gap in the COT is up to 16us;</w:t>
      </w:r>
    </w:p>
    <w:p>
      <w:pPr>
        <w:rPr>
          <w:rFonts w:hint="eastAsia"/>
          <w:lang w:val="en-US" w:eastAsia="zh-CN"/>
        </w:rPr>
      </w:pPr>
      <w:r>
        <w:rPr>
          <w:rFonts w:hint="eastAsia"/>
          <w:lang w:val="en-US" w:eastAsia="zh-CN"/>
        </w:rPr>
        <w:t xml:space="preserve">As analyzed above, in order to </w:t>
      </w:r>
      <w:r>
        <w:rPr>
          <w:rFonts w:hint="eastAsia"/>
          <w:b w:val="0"/>
          <w:bCs/>
          <w:i w:val="0"/>
          <w:iCs/>
          <w:strike w:val="0"/>
          <w:dstrike w:val="0"/>
          <w:szCs w:val="20"/>
          <w:lang w:val="en-US" w:eastAsia="zh-CN"/>
        </w:rPr>
        <w:t>fairly co-exist with NR-U/LAA/WiFi system,</w:t>
      </w:r>
      <w:r>
        <w:rPr>
          <w:rFonts w:hint="eastAsia"/>
          <w:lang w:val="en-US" w:eastAsia="zh-CN"/>
        </w:rPr>
        <w:t xml:space="preserve"> channel access procedure should be introduced for the sidelink unlicensed access system. It is beneficial to use the channel access procedure defined in NR-U as a starting point for the study of channel access procedures in sidelink unlicensed access system. This is because it saves the workload of standardization. </w:t>
      </w:r>
    </w:p>
    <w:p>
      <w:pPr>
        <w:rPr>
          <w:rFonts w:hint="default"/>
          <w:b w:val="0"/>
          <w:bCs/>
          <w:i w:val="0"/>
          <w:iCs/>
          <w:szCs w:val="20"/>
          <w:lang w:val="en-US" w:eastAsia="zh-CN"/>
        </w:rPr>
      </w:pPr>
      <w:r>
        <w:rPr>
          <w:rFonts w:hint="eastAsia"/>
          <w:lang w:val="en-US" w:eastAsia="zh-CN"/>
        </w:rPr>
        <w:t xml:space="preserve">It had been agreed at RAN1#109-e meeting that </w:t>
      </w:r>
      <w:r>
        <w:rPr>
          <w:rFonts w:ascii="Times" w:hAnsi="Times" w:eastAsia="Batang" w:cs="Times"/>
          <w:sz w:val="22"/>
          <w:szCs w:val="22"/>
          <w:lang w:val="en-GB"/>
        </w:rPr>
        <w:t xml:space="preserve">Type 1 and Type 2 (2A/2B/2C) channel access </w:t>
      </w:r>
      <w:r>
        <w:rPr>
          <w:rFonts w:ascii="Times" w:hAnsi="Times" w:eastAsia="Batang" w:cs="Times"/>
          <w:color w:val="000000"/>
          <w:sz w:val="22"/>
          <w:szCs w:val="22"/>
          <w:lang w:val="en-GB"/>
        </w:rPr>
        <w:t>procedures</w:t>
      </w:r>
      <w:r>
        <w:rPr>
          <w:rFonts w:ascii="Times" w:hAnsi="Times" w:eastAsia="Batang" w:cs="Times"/>
          <w:sz w:val="22"/>
          <w:szCs w:val="22"/>
          <w:lang w:val="en-GB"/>
        </w:rPr>
        <w:t>, transmission gap and LBT sensing idle time requirements specified in TS37.213 for NR-U are taken as baseline for NR sidelink operation in a shared channel.</w:t>
      </w:r>
      <w:r>
        <w:rPr>
          <w:rFonts w:hint="eastAsia" w:ascii="Times" w:hAnsi="Times" w:cs="Times"/>
          <w:sz w:val="22"/>
          <w:szCs w:val="22"/>
          <w:lang w:val="en-US" w:eastAsia="zh-CN"/>
        </w:rPr>
        <w:t xml:space="preserve"> A typical application scenario for Type 1 channel access procedure </w:t>
      </w:r>
      <w:r>
        <w:rPr>
          <w:rFonts w:hint="eastAsia"/>
          <w:b w:val="0"/>
          <w:bCs/>
          <w:i w:val="0"/>
          <w:iCs/>
          <w:strike w:val="0"/>
          <w:dstrike w:val="0"/>
          <w:szCs w:val="20"/>
          <w:lang w:val="en-US" w:eastAsia="zh-CN"/>
        </w:rPr>
        <w:t>is to initiate a sidelink transmission at the beginning of the COT. Similarly, for T</w:t>
      </w:r>
      <w:r>
        <w:rPr>
          <w:rFonts w:hint="eastAsia" w:ascii="Times" w:hAnsi="Times" w:cs="Times"/>
          <w:sz w:val="22"/>
          <w:szCs w:val="22"/>
          <w:lang w:val="en-US" w:eastAsia="zh-CN"/>
        </w:rPr>
        <w:t xml:space="preserve">ype 2 </w:t>
      </w:r>
      <w:r>
        <w:rPr>
          <w:rFonts w:ascii="Times" w:hAnsi="Times" w:eastAsia="Batang" w:cs="Times"/>
          <w:sz w:val="22"/>
          <w:szCs w:val="22"/>
          <w:lang w:val="en-GB"/>
        </w:rPr>
        <w:t>(2A/2B/2C)</w:t>
      </w:r>
      <w:r>
        <w:rPr>
          <w:rFonts w:hint="eastAsia" w:ascii="Times" w:hAnsi="Times" w:cs="Times"/>
          <w:sz w:val="22"/>
          <w:szCs w:val="22"/>
          <w:lang w:val="en-US" w:eastAsia="zh-CN"/>
        </w:rPr>
        <w:t xml:space="preserve"> channel access procedure</w:t>
      </w:r>
      <w:r>
        <w:rPr>
          <w:rFonts w:hint="eastAsia"/>
          <w:b w:val="0"/>
          <w:bCs/>
          <w:i w:val="0"/>
          <w:iCs/>
          <w:strike w:val="0"/>
          <w:dstrike w:val="0"/>
          <w:szCs w:val="20"/>
          <w:lang w:val="en-US" w:eastAsia="zh-CN"/>
        </w:rPr>
        <w:t>, the typical application scenario is applied to sidelink transmission within the COT.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val="0"/>
          <w:iCs/>
          <w:szCs w:val="20"/>
          <w:lang w:val="en-US" w:eastAsia="zh-CN"/>
        </w:rPr>
        <w:t xml:space="preserve">According to </w:t>
      </w:r>
      <w:r>
        <w:rPr>
          <w:rFonts w:hint="eastAsia"/>
          <w:b w:val="0"/>
          <w:bCs/>
          <w:i w:val="0"/>
          <w:iCs/>
          <w:szCs w:val="20"/>
          <w:lang w:val="en-US" w:eastAsia="zh-CN"/>
        </w:rPr>
        <w:t>the E</w:t>
      </w:r>
      <w:r>
        <w:rPr>
          <w:rFonts w:hint="default"/>
          <w:b w:val="0"/>
          <w:bCs/>
          <w:i w:val="0"/>
          <w:iCs/>
          <w:szCs w:val="20"/>
          <w:lang w:val="en-US" w:eastAsia="zh-CN"/>
        </w:rPr>
        <w:t>uropean regulation (ETSI EN 301 893)</w:t>
      </w:r>
      <w:r>
        <w:rPr>
          <w:rFonts w:hint="eastAsia"/>
          <w:b w:val="0"/>
          <w:bCs/>
          <w:i w:val="0"/>
          <w:iCs/>
          <w:szCs w:val="20"/>
          <w:lang w:val="en-US" w:eastAsia="zh-CN"/>
        </w:rPr>
        <w:t xml:space="preserve"> [2]</w:t>
      </w:r>
      <w:r>
        <w:rPr>
          <w:rFonts w:hint="default"/>
          <w:b w:val="0"/>
          <w:bCs/>
          <w:i w:val="0"/>
          <w:iCs/>
          <w:szCs w:val="20"/>
          <w:lang w:val="en-US" w:eastAsia="zh-CN"/>
        </w:rPr>
        <w:t xml:space="preserve">, </w:t>
      </w:r>
      <w:r>
        <w:rPr>
          <w:rFonts w:hint="eastAsia"/>
          <w:b w:val="0"/>
          <w:bCs/>
          <w:i w:val="0"/>
          <w:iCs/>
          <w:szCs w:val="20"/>
          <w:lang w:val="en-US" w:eastAsia="zh-CN"/>
        </w:rPr>
        <w:t xml:space="preserve">short control signaling can be used with the </w:t>
      </w:r>
      <w:r>
        <w:rPr>
          <w:rFonts w:hint="default"/>
          <w:b w:val="0"/>
          <w:bCs/>
          <w:i w:val="0"/>
          <w:iCs/>
          <w:szCs w:val="20"/>
          <w:lang w:val="en-US" w:eastAsia="zh-CN"/>
        </w:rPr>
        <w:t>following limitations</w:t>
      </w:r>
      <w:r>
        <w:rPr>
          <w:rFonts w:hint="eastAsia"/>
          <w:b w:val="0"/>
          <w:bCs/>
          <w:i w:val="0"/>
          <w:iCs/>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iCs w:val="0"/>
          <w:szCs w:val="20"/>
          <w:lang w:val="en-US" w:eastAsia="zh-CN"/>
        </w:rPr>
      </w:pPr>
      <w:r>
        <w:rPr>
          <w:rFonts w:hint="default"/>
          <w:b w:val="0"/>
          <w:bCs/>
          <w:i/>
          <w:iCs w:val="0"/>
          <w:szCs w:val="20"/>
          <w:lang w:val="en-US" w:eastAsia="zh-CN"/>
        </w:rPr>
        <w:t>“</w:t>
      </w:r>
      <w:r>
        <w:rPr>
          <w:rFonts w:hint="eastAsia"/>
          <w:b w:val="0"/>
          <w:bCs/>
          <w:i/>
          <w:iCs w:val="0"/>
          <w:szCs w:val="20"/>
          <w:lang w:val="en-US" w:eastAsia="zh-CN"/>
        </w:rPr>
        <w:t>W</w:t>
      </w:r>
      <w:r>
        <w:rPr>
          <w:rFonts w:hint="default"/>
          <w:b w:val="0"/>
          <w:bCs/>
          <w:i/>
          <w:iCs w:val="0"/>
          <w:szCs w:val="20"/>
          <w:lang w:val="en-US" w:eastAsia="zh-CN"/>
        </w:rPr>
        <w:t xml:space="preserve">ithin an observation period of 50ms, the number of Short Control Signalling Transmissions by the equipment shall be equal to or less than 50;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iCs w:val="0"/>
          <w:szCs w:val="20"/>
          <w:lang w:val="en-US" w:eastAsia="zh-CN"/>
        </w:rPr>
        <w:t>and</w:t>
      </w:r>
      <w:r>
        <w:rPr>
          <w:rFonts w:hint="eastAsia"/>
          <w:b w:val="0"/>
          <w:bCs/>
          <w:i/>
          <w:iCs w:val="0"/>
          <w:szCs w:val="20"/>
          <w:lang w:val="en-US" w:eastAsia="zh-CN"/>
        </w:rPr>
        <w:t xml:space="preserve"> </w:t>
      </w:r>
      <w:r>
        <w:rPr>
          <w:rFonts w:hint="default"/>
          <w:b w:val="0"/>
          <w:bCs/>
          <w:i/>
          <w:iCs w:val="0"/>
          <w:szCs w:val="20"/>
          <w:lang w:val="en-US" w:eastAsia="zh-CN"/>
        </w:rPr>
        <w:t>the total duration of the equipment's Short Control Signalling Transmissions shall be less than 2 500 µs within said observation period.”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According to the limitation of short control signaling, only some relatively sparse signals/channels can use the short control signaling transmission mechanism. Considering the short transmission time of PSFCH, e.g., less than one slot, their use of short control signaling mechanism is expected to have little impact on the performance of other RATs.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In RAN1#111 meeting, RAN1 made the following agreement [3]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30"/>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keepNext w:val="0"/>
              <w:keepLines w:val="0"/>
              <w:widowControl w:val="0"/>
              <w:suppressLineNumbers w:val="0"/>
              <w:autoSpaceDE w:val="0"/>
              <w:autoSpaceDN w:val="0"/>
              <w:adjustRightInd/>
              <w:snapToGrid/>
              <w:spacing w:before="12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numPr>
                <w:ilvl w:val="0"/>
                <w:numId w:val="12"/>
              </w:numPr>
              <w:suppressLineNumbers w:val="0"/>
              <w:autoSpaceDE w:val="0"/>
              <w:autoSpaceDN w:val="0"/>
              <w:spacing w:before="0" w:beforeAutospacing="0" w:afterAutospacing="0"/>
              <w:ind w:left="720" w:leftChars="0" w:right="0" w:hanging="360"/>
              <w:jc w:val="both"/>
              <w:rPr>
                <w:rFonts w:hint="eastAsia" w:ascii="Times New Roman" w:hAnsi="Times New Roman" w:eastAsia="Batang" w:cs="Times New Roman"/>
                <w:szCs w:val="22"/>
                <w:lang w:val="en-GB" w:eastAsia="zh-CN" w:bidi="ar-SA"/>
              </w:rPr>
            </w:pPr>
            <w:r>
              <w:rPr>
                <w:rFonts w:hint="eastAsia" w:ascii="Times New Roman" w:hAnsi="Times New Roman" w:eastAsia="Batang" w:cs="Times New Roman"/>
                <w:szCs w:val="22"/>
                <w:lang w:val="en-GB" w:eastAsia="zh-CN" w:bidi="ar-SA"/>
              </w:rPr>
              <w:t xml:space="preserve">Type 2A channel access procedure is applicable for S-SSB transmissions from a UE without a shared channel occupancy, when the following </w:t>
            </w:r>
            <w:bookmarkStart w:id="9" w:name="OLE_LINK105"/>
            <w:bookmarkStart w:id="10" w:name="OLE_LINK104"/>
            <w:r>
              <w:rPr>
                <w:rFonts w:hint="eastAsia" w:ascii="Times New Roman" w:hAnsi="Times New Roman" w:eastAsia="Batang" w:cs="Times New Roman"/>
                <w:szCs w:val="22"/>
                <w:lang w:val="en-GB" w:eastAsia="zh-CN" w:bidi="ar-SA"/>
              </w:rPr>
              <w:t xml:space="preserve">constraints </w:t>
            </w:r>
            <w:bookmarkEnd w:id="9"/>
            <w:bookmarkEnd w:id="10"/>
            <w:r>
              <w:rPr>
                <w:rFonts w:hint="eastAsia" w:ascii="Times New Roman" w:hAnsi="Times New Roman" w:eastAsia="Batang" w:cs="Times New Roman"/>
                <w:szCs w:val="22"/>
                <w:lang w:val="en-GB" w:eastAsia="zh-CN" w:bidi="ar-SA"/>
              </w:rPr>
              <w:t>are met:</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 xml:space="preserve">Time duration is at most 1ms per transmission </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The duty cycle of the S-SSB transmissions is at most 1/20</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details of EDT</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whether/how to define observation period, including whether or not observation period would be captured in the specifications if defined</w:t>
            </w:r>
          </w:p>
          <w:p>
            <w:pPr>
              <w:keepNext w:val="0"/>
              <w:keepLines w:val="0"/>
              <w:widowControl w:val="0"/>
              <w:numPr>
                <w:ilvl w:val="0"/>
                <w:numId w:val="12"/>
              </w:numPr>
              <w:suppressLineNumbers w:val="0"/>
              <w:autoSpaceDE w:val="0"/>
              <w:autoSpaceDN w:val="0"/>
              <w:spacing w:before="0" w:beforeAutospacing="0" w:after="60" w:afterAutospacing="0"/>
              <w:ind w:left="720" w:leftChars="0" w:right="0" w:hanging="360"/>
              <w:jc w:val="both"/>
              <w:rPr>
                <w:rFonts w:hint="eastAsia" w:ascii="Times New Roman" w:hAnsi="Times New Roman" w:eastAsia="Batang" w:cs="Times New Roman"/>
                <w:szCs w:val="24"/>
                <w:lang w:val="en-US" w:eastAsia="zh-CN" w:bidi="ar-SA"/>
              </w:rPr>
            </w:pPr>
            <w:r>
              <w:rPr>
                <w:rFonts w:hint="eastAsia" w:ascii="Times New Roman" w:hAnsi="Times New Roman" w:eastAsia="Batang" w:cs="Times New Roman"/>
                <w:szCs w:val="22"/>
                <w:lang w:val="en-US" w:eastAsia="zh-CN" w:bidi="ar-SA"/>
              </w:rPr>
              <w:t xml:space="preserve">FFS: Type 2A applicability for PSFCH </w:t>
            </w:r>
            <w:r>
              <w:rPr>
                <w:rFonts w:hint="eastAsia" w:ascii="Times New Roman" w:hAnsi="Times New Roman" w:eastAsia="Batang" w:cs="Times New Roman"/>
                <w:szCs w:val="22"/>
                <w:lang w:val="en-GB" w:eastAsia="zh-CN" w:bidi="ar-SA"/>
              </w:rPr>
              <w:t>without a shared channel occupancy</w:t>
            </w:r>
            <w:r>
              <w:rPr>
                <w:rFonts w:hint="eastAsia" w:ascii="Times New Roman" w:hAnsi="Times New Roman" w:eastAsia="Batang" w:cs="Times New Roman"/>
                <w:szCs w:val="22"/>
                <w:lang w:val="en-US" w:eastAsia="zh-CN" w:bidi="ar-SA"/>
              </w:rPr>
              <w:t xml:space="preserve"> and further limitations for combined transmissions of both S-SSB and PSFCH using Type 2A channel access procedure</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val="0"/>
          <w:bCs/>
          <w:i w:val="0"/>
          <w:iCs/>
          <w:szCs w:val="20"/>
          <w:lang w:val="en-US" w:eastAsia="zh-CN"/>
        </w:rPr>
        <w:t xml:space="preserve">In NR-U, the short control signaling mechanism is used for discovery burst transmission (SSB) from the gNB. However, in NR-U, the gNB still needs to perform a Type 2A channel access procedure to ensure that the channel is idle before the discovery bust transmission. It is understood to be particularly friendly to transmissions from other RATs coexisting in the same shared channel. In addition, in order to </w:t>
      </w:r>
      <w:r>
        <w:rPr>
          <w:rFonts w:hint="eastAsia"/>
          <w:b w:val="0"/>
          <w:bCs/>
          <w:i w:val="0"/>
          <w:iCs/>
          <w:strike w:val="0"/>
          <w:dstrike w:val="0"/>
          <w:szCs w:val="20"/>
          <w:lang w:val="en-US" w:eastAsia="zh-CN"/>
        </w:rPr>
        <w:t>fairly co-exist</w:t>
      </w:r>
      <w:r>
        <w:rPr>
          <w:rFonts w:hint="eastAsia"/>
          <w:b w:val="0"/>
          <w:bCs/>
          <w:i w:val="0"/>
          <w:iCs/>
          <w:szCs w:val="20"/>
          <w:lang w:val="en-US" w:eastAsia="zh-CN"/>
        </w:rPr>
        <w:t xml:space="preserve"> with NR-U in the same shared channel, the short control signaling (i.e. PSFCH) should use the same transmission mechanism used in NR-U, i.e., perform Type 2A channel access procedure prior to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1: Type 2A channel access procedure is used for PSFCH transmission.</w:t>
      </w:r>
    </w:p>
    <w:p>
      <w:pPr>
        <w:rPr>
          <w:rFonts w:hint="default"/>
          <w:b/>
          <w:i/>
          <w:iCs w:val="0"/>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If proposal 1 is agreed, the following TP#1 should be adopted.</w:t>
      </w:r>
    </w:p>
    <w:p>
      <w:pPr>
        <w:rPr>
          <w:rFonts w:hint="eastAsia"/>
          <w:b w:val="0"/>
          <w:bCs w:val="0"/>
          <w:i w:val="0"/>
          <w:iCs w:val="0"/>
          <w:lang w:val="en-US" w:eastAsia="zh-CN"/>
        </w:rPr>
      </w:pPr>
      <w:r>
        <w:rPr>
          <w:rFonts w:hint="eastAsia"/>
          <w:b w:val="0"/>
          <w:bCs w:val="0"/>
          <w:i w:val="0"/>
          <w:iCs w:val="0"/>
          <w:lang w:val="en-US" w:eastAsia="zh-CN"/>
        </w:rPr>
        <w:t>The TP#1 of clause 4.5.2 of TS 37.213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1" w:name="_Toc145512935"/>
            <w:r>
              <w:rPr>
                <w:rFonts w:ascii="Arial" w:hAnsi="Arial" w:eastAsia="Times New Roman" w:cs="Times New Roman"/>
                <w:sz w:val="28"/>
                <w:lang w:val="en-GB" w:eastAsia="en-US" w:bidi="ar-SA"/>
              </w:rPr>
              <w:t>4.5.</w:t>
            </w:r>
            <w:r>
              <w:rPr>
                <w:rFonts w:ascii="Arial" w:hAnsi="Arial" w:eastAsia="Times New Roman" w:cs="Times New Roman"/>
                <w:sz w:val="28"/>
                <w:lang w:val="en-US" w:eastAsia="en-US" w:bidi="ar-SA"/>
              </w:rPr>
              <w:t>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Type 2 SL channel access procedure</w:t>
            </w:r>
            <w:bookmarkEnd w:id="11"/>
          </w:p>
          <w:p>
            <w:pPr>
              <w:keepNext w:val="0"/>
              <w:keepLines w:val="0"/>
              <w:widowControl w:val="0"/>
              <w:suppressLineNumbers w:val="0"/>
              <w:autoSpaceDE/>
              <w:autoSpaceDN/>
              <w:adjustRightInd/>
              <w:snapToGrid/>
              <w:spacing w:before="0" w:beforeAutospacing="0" w:after="180" w:afterAutospacing="0"/>
              <w:ind w:left="0" w:right="0"/>
              <w:jc w:val="center"/>
              <w:rPr>
                <w:rFonts w:hint="eastAsia"/>
                <w:sz w:val="20"/>
                <w:szCs w:val="20"/>
              </w:rPr>
            </w:pPr>
            <w:r>
              <w:rPr>
                <w:rFonts w:hint="eastAsia"/>
                <w:sz w:val="20"/>
                <w:szCs w:val="20"/>
              </w:rPr>
              <w:t>……</w:t>
            </w:r>
          </w:p>
          <w:p>
            <w:pPr>
              <w:autoSpaceDE/>
              <w:autoSpaceDN/>
              <w:adjustRightInd/>
              <w:snapToGrid/>
              <w:spacing w:after="180"/>
              <w:jc w:val="left"/>
              <w:rPr>
                <w:rFonts w:eastAsia="Times New Roman"/>
                <w:sz w:val="20"/>
                <w:szCs w:val="20"/>
                <w:lang w:val="en-GB"/>
              </w:rPr>
            </w:pPr>
            <w:r>
              <w:rPr>
                <w:rFonts w:eastAsia="Times New Roman"/>
                <w:sz w:val="20"/>
                <w:szCs w:val="20"/>
                <w:lang w:val="de-DE"/>
              </w:rPr>
              <w:t>Type 2A SL channel access procedure as described in clause 4.5.2.1 is applicable to the following transmission(s) performed by a UE:</w:t>
            </w:r>
          </w:p>
          <w:p>
            <w:pPr>
              <w:spacing w:after="180"/>
              <w:ind w:left="568" w:hanging="284"/>
              <w:rPr>
                <w:rFonts w:ascii="Times New Roman" w:hAnsi="Times New Roman" w:eastAsia="Calibri" w:cs="Times New Roman"/>
                <w:lang w:val="en-US" w:eastAsia="en-US" w:bidi="ar-SA"/>
              </w:rPr>
            </w:pPr>
            <w:r>
              <w:rPr>
                <w:rFonts w:ascii="Times New Roman" w:hAnsi="Times New Roman" w:eastAsia="Calibri" w:cs="Times New Roman"/>
                <w:lang w:val="en-US" w:eastAsia="zh-CN" w:bidi="ar-SA"/>
              </w:rPr>
              <w:t>-</w:t>
            </w:r>
            <w:r>
              <w:rPr>
                <w:rFonts w:ascii="Times New Roman" w:hAnsi="Times New Roman" w:eastAsia="Calibri" w:cs="Times New Roman"/>
                <w:lang w:val="en-US" w:eastAsia="zh-CN" w:bidi="ar-SA"/>
              </w:rPr>
              <w:tab/>
            </w:r>
            <w:r>
              <w:rPr>
                <w:rFonts w:ascii="Times New Roman" w:hAnsi="Times New Roman" w:eastAsia="Calibri" w:cs="Times New Roman"/>
                <w:lang w:val="en-US" w:eastAsia="zh-CN" w:bidi="ar-SA"/>
              </w:rPr>
              <w:t xml:space="preserve">If a UE intends to transmit a SL transmission at least  </w:t>
            </w:r>
            <m:oMath>
              <m:r>
                <w:rPr>
                  <w:rFonts w:ascii="Cambria Math" w:hAnsi="Cambria Math" w:eastAsia="Calibri"/>
                  <w:lang w:val="en-US" w:eastAsia="zh-CN"/>
                </w:rPr>
                <m:t>25</m:t>
              </m:r>
              <m:r>
                <w:rPr>
                  <w:rFonts w:ascii="Cambria Math" w:hAnsi="Cambria Math" w:eastAsia="Calibri"/>
                  <w:lang w:eastAsia="zh-CN"/>
                </w:rPr>
                <m:t>μs</m:t>
              </m:r>
            </m:oMath>
            <w:r>
              <w:rPr>
                <w:rFonts w:ascii="Times New Roman" w:hAnsi="Times New Roman" w:eastAsia="Calibri" w:cs="Times New Roman"/>
                <w:lang w:val="en-US" w:eastAsia="zh-CN" w:bidi="ar-SA"/>
              </w:rPr>
              <w:t xml:space="preserve">  after a SL transmission by another UE in a shared channel occupancy as described in clause 4.5.3</w:t>
            </w:r>
            <w:r>
              <w:rPr>
                <w:rFonts w:ascii="Times New Roman" w:hAnsi="Times New Roman" w:eastAsia="Calibri" w:cs="Times New Roman"/>
                <w:lang w:val="en-GB" w:eastAsia="zh-CN" w:bidi="ar-SA"/>
              </w:rPr>
              <w:t xml:space="preserve">, </w:t>
            </w:r>
            <w:r>
              <w:rPr>
                <w:rFonts w:ascii="Times New Roman" w:hAnsi="Times New Roman" w:eastAsia="Calibri" w:cs="Times New Roman"/>
                <w:lang w:val="en-US" w:eastAsia="zh-CN" w:bidi="ar-SA"/>
              </w:rPr>
              <w:t>the UE uses Type 2A SL channel access procedures for the SL transmission.</w:t>
            </w:r>
          </w:p>
          <w:p>
            <w:pPr>
              <w:spacing w:after="180"/>
              <w:ind w:left="568" w:hanging="284"/>
              <w:rPr>
                <w:rFonts w:ascii="Times New Roman" w:hAnsi="Times New Roman" w:eastAsia="Calibri" w:cs="Times New Roman"/>
                <w:lang w:val="en-US" w:eastAsia="en-US" w:bidi="ar-SA"/>
              </w:rPr>
            </w:pPr>
            <w:r>
              <w:rPr>
                <w:rFonts w:ascii="Times New Roman" w:hAnsi="Times New Roman" w:eastAsia="Calibri" w:cs="Times New Roman"/>
                <w:lang w:val="en-US" w:eastAsia="en-US" w:bidi="ar-SA"/>
              </w:rPr>
              <w:t>-</w:t>
            </w:r>
            <w:r>
              <w:rPr>
                <w:rFonts w:ascii="Times New Roman" w:hAnsi="Times New Roman" w:eastAsia="Calibri" w:cs="Times New Roman"/>
                <w:lang w:val="en-US" w:eastAsia="en-US" w:bidi="ar-SA"/>
              </w:rPr>
              <w:tab/>
            </w:r>
            <w:r>
              <w:rPr>
                <w:rFonts w:ascii="Times New Roman" w:hAnsi="Times New Roman" w:eastAsia="Calibri" w:cs="Times New Roman"/>
                <w:lang w:val="en-US" w:eastAsia="en-US" w:bidi="ar-SA"/>
              </w:rPr>
              <w:t xml:space="preserve">If a UE intends to transmit only S-SSB </w:t>
            </w:r>
            <w:r>
              <w:rPr>
                <w:rFonts w:hint="eastAsia" w:ascii="Times New Roman" w:hAnsi="Times New Roman" w:eastAsia="宋体" w:cs="Times New Roman"/>
                <w:color w:val="FF0000"/>
                <w:lang w:val="en-US" w:eastAsia="zh-CN" w:bidi="ar-SA"/>
              </w:rPr>
              <w:t>or only PSFCH</w:t>
            </w:r>
            <w:r>
              <w:rPr>
                <w:rFonts w:hint="eastAsia" w:ascii="Times New Roman" w:hAnsi="Times New Roman" w:eastAsia="宋体" w:cs="Times New Roman"/>
                <w:lang w:val="en-US" w:eastAsia="zh-CN" w:bidi="ar-SA"/>
              </w:rPr>
              <w:t xml:space="preserve"> </w:t>
            </w:r>
            <w:r>
              <w:rPr>
                <w:rFonts w:ascii="Times New Roman" w:hAnsi="Times New Roman" w:eastAsia="Calibri" w:cs="Times New Roman"/>
                <w:lang w:val="en-US" w:eastAsia="en-US" w:bidi="ar-SA"/>
              </w:rPr>
              <w:t>in transmission(s) where the time duration of S-SSB</w:t>
            </w:r>
            <w:r>
              <w:rPr>
                <w:rFonts w:hint="eastAsia" w:ascii="Times New Roman" w:hAnsi="Times New Roman" w:eastAsia="宋体" w:cs="Times New Roman"/>
                <w:lang w:val="en-US" w:eastAsia="zh-CN" w:bidi="ar-SA"/>
              </w:rPr>
              <w:t xml:space="preserve"> </w:t>
            </w:r>
            <w:r>
              <w:rPr>
                <w:rFonts w:hint="eastAsia" w:ascii="Times New Roman" w:hAnsi="Times New Roman" w:eastAsia="宋体" w:cs="Times New Roman"/>
                <w:color w:val="FF0000"/>
                <w:lang w:val="en-US" w:eastAsia="zh-CN" w:bidi="ar-SA"/>
              </w:rPr>
              <w:t>or PSFCH</w:t>
            </w:r>
            <w:r>
              <w:rPr>
                <w:rFonts w:ascii="Times New Roman" w:hAnsi="Times New Roman" w:eastAsia="Calibri" w:cs="Times New Roman"/>
                <w:lang w:val="en-US" w:eastAsia="en-US" w:bidi="ar-SA"/>
              </w:rPr>
              <w:t xml:space="preserve"> transmission(s) is at most </w:t>
            </w:r>
            <m:oMath>
              <m:r>
                <w:rPr>
                  <w:rFonts w:ascii="Cambria Math" w:hAnsi="Cambria Math" w:eastAsia="Calibri"/>
                  <w:lang w:val="en-US"/>
                </w:rPr>
                <m:t>1ms</m:t>
              </m:r>
            </m:oMath>
            <w:r>
              <w:rPr>
                <w:rFonts w:ascii="Times New Roman" w:hAnsi="Times New Roman" w:eastAsia="Calibri" w:cs="Times New Roman"/>
                <w:lang w:val="en-US" w:eastAsia="en-US" w:bidi="ar-SA"/>
              </w:rPr>
              <w:t xml:space="preserve"> with a </w:t>
            </w:r>
            <w:r>
              <w:rPr>
                <w:rFonts w:ascii="Times New Roman" w:hAnsi="Times New Roman" w:eastAsia="Calibri" w:cs="Times New Roman"/>
                <w:lang w:val="en-GB" w:eastAsia="en-US" w:bidi="ar-SA"/>
              </w:rPr>
              <w:t xml:space="preserve">duty cycle of at most </w:t>
            </w:r>
            <m:oMath>
              <m:f>
                <m:fPr>
                  <m:type m:val="lin"/>
                  <m:ctrlPr>
                    <w:rPr>
                      <w:rFonts w:ascii="Cambria Math" w:hAnsi="Cambria Math" w:eastAsia="Calibri"/>
                      <w:i/>
                    </w:rPr>
                  </m:ctrlPr>
                </m:fPr>
                <m:num>
                  <m:r>
                    <w:rPr>
                      <w:rFonts w:ascii="Cambria Math" w:hAnsi="Cambria Math" w:eastAsia="Calibri"/>
                      <w:lang w:val="en-US"/>
                    </w:rPr>
                    <m:t>1</m:t>
                  </m:r>
                  <m:ctrlPr>
                    <w:rPr>
                      <w:rFonts w:ascii="Cambria Math" w:hAnsi="Cambria Math" w:eastAsia="Calibri"/>
                      <w:i/>
                    </w:rPr>
                  </m:ctrlPr>
                </m:num>
                <m:den>
                  <m:r>
                    <w:rPr>
                      <w:rFonts w:ascii="Cambria Math" w:hAnsi="Cambria Math" w:eastAsia="Calibri"/>
                      <w:lang w:val="en-US"/>
                    </w:rPr>
                    <m:t>20</m:t>
                  </m:r>
                  <m:ctrlPr>
                    <w:rPr>
                      <w:rFonts w:ascii="Cambria Math" w:hAnsi="Cambria Math" w:eastAsia="Calibri"/>
                      <w:i/>
                    </w:rPr>
                  </m:ctrlPr>
                </m:den>
              </m:f>
            </m:oMath>
            <w:r>
              <w:rPr>
                <w:rFonts w:ascii="Times New Roman" w:hAnsi="Times New Roman" w:eastAsia="Calibri" w:cs="Times New Roman"/>
                <w:lang w:val="en-GB" w:eastAsia="en-US" w:bidi="ar-SA"/>
              </w:rPr>
              <w:t xml:space="preserve">, </w:t>
            </w:r>
            <w:r>
              <w:rPr>
                <w:rFonts w:ascii="Times New Roman" w:hAnsi="Times New Roman" w:eastAsia="Calibri" w:cs="Times New Roman"/>
                <w:lang w:val="en-US" w:eastAsia="en-US" w:bidi="ar-SA"/>
              </w:rPr>
              <w:t>the UE uses Type 2A SL channel access procedures for the SL transmission(s).</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default"/>
          <w:b w:val="0"/>
          <w:bCs/>
          <w:i w:val="0"/>
          <w:iCs/>
          <w:strike w:val="0"/>
          <w:dstrike w:val="0"/>
          <w:szCs w:val="20"/>
          <w:lang w:val="en-US" w:eastAsia="zh-CN"/>
        </w:rPr>
      </w:pPr>
    </w:p>
    <w:p>
      <w:pPr>
        <w:rPr>
          <w:rFonts w:hint="default"/>
          <w:b/>
          <w:bCs/>
          <w:i/>
          <w:iCs/>
          <w:lang w:val="en-US" w:eastAsia="zh-CN"/>
        </w:rPr>
      </w:pPr>
      <w:r>
        <w:rPr>
          <w:rFonts w:hint="eastAsia"/>
          <w:b/>
          <w:bCs/>
          <w:i/>
          <w:iCs/>
          <w:lang w:val="en-US" w:eastAsia="zh-CN"/>
        </w:rPr>
        <w:t>Proposal 2: Adopt the following TP#1</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4.5.</w:t>
            </w:r>
            <w:r>
              <w:rPr>
                <w:rFonts w:ascii="Arial" w:hAnsi="Arial" w:eastAsia="Times New Roman" w:cs="Times New Roman"/>
                <w:sz w:val="28"/>
                <w:lang w:val="en-US" w:eastAsia="en-US" w:bidi="ar-SA"/>
              </w:rPr>
              <w:t>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Type 2 SL channel access procedure</w:t>
            </w:r>
          </w:p>
          <w:p>
            <w:pPr>
              <w:keepNext w:val="0"/>
              <w:keepLines w:val="0"/>
              <w:widowControl w:val="0"/>
              <w:suppressLineNumbers w:val="0"/>
              <w:autoSpaceDE/>
              <w:autoSpaceDN/>
              <w:adjustRightInd/>
              <w:snapToGrid/>
              <w:spacing w:before="0" w:beforeAutospacing="0" w:after="180" w:afterAutospacing="0"/>
              <w:ind w:left="0" w:right="0"/>
              <w:jc w:val="center"/>
              <w:rPr>
                <w:rFonts w:hint="eastAsia"/>
                <w:sz w:val="20"/>
                <w:szCs w:val="20"/>
              </w:rPr>
            </w:pPr>
            <w:r>
              <w:rPr>
                <w:rFonts w:hint="eastAsia"/>
                <w:sz w:val="20"/>
                <w:szCs w:val="20"/>
              </w:rPr>
              <w:t>……</w:t>
            </w:r>
          </w:p>
          <w:p>
            <w:pPr>
              <w:autoSpaceDE/>
              <w:autoSpaceDN/>
              <w:adjustRightInd/>
              <w:snapToGrid/>
              <w:spacing w:after="180"/>
              <w:jc w:val="left"/>
              <w:rPr>
                <w:rFonts w:eastAsia="Times New Roman"/>
                <w:sz w:val="20"/>
                <w:szCs w:val="20"/>
                <w:lang w:val="en-GB"/>
              </w:rPr>
            </w:pPr>
            <w:r>
              <w:rPr>
                <w:rFonts w:eastAsia="Times New Roman"/>
                <w:sz w:val="20"/>
                <w:szCs w:val="20"/>
                <w:lang w:val="de-DE"/>
              </w:rPr>
              <w:t>Type 2A SL channel access procedure as described in clause 4.5.2.1 is applicable to the following transmission(s) performed by a UE:</w:t>
            </w:r>
          </w:p>
          <w:p>
            <w:pPr>
              <w:spacing w:after="180"/>
              <w:ind w:left="568" w:hanging="284"/>
              <w:rPr>
                <w:rFonts w:ascii="Times New Roman" w:hAnsi="Times New Roman" w:eastAsia="Calibri" w:cs="Times New Roman"/>
                <w:lang w:val="en-US" w:eastAsia="en-US" w:bidi="ar-SA"/>
              </w:rPr>
            </w:pPr>
            <w:r>
              <w:rPr>
                <w:rFonts w:ascii="Times New Roman" w:hAnsi="Times New Roman" w:eastAsia="Calibri" w:cs="Times New Roman"/>
                <w:lang w:val="en-US" w:eastAsia="zh-CN" w:bidi="ar-SA"/>
              </w:rPr>
              <w:t>-</w:t>
            </w:r>
            <w:r>
              <w:rPr>
                <w:rFonts w:ascii="Times New Roman" w:hAnsi="Times New Roman" w:eastAsia="Calibri" w:cs="Times New Roman"/>
                <w:lang w:val="en-US" w:eastAsia="zh-CN" w:bidi="ar-SA"/>
              </w:rPr>
              <w:tab/>
            </w:r>
            <w:r>
              <w:rPr>
                <w:rFonts w:ascii="Times New Roman" w:hAnsi="Times New Roman" w:eastAsia="Calibri" w:cs="Times New Roman"/>
                <w:lang w:val="en-US" w:eastAsia="zh-CN" w:bidi="ar-SA"/>
              </w:rPr>
              <w:t xml:space="preserve">If a UE intends to transmit a SL transmission at least  </w:t>
            </w:r>
            <m:oMath>
              <m:r>
                <w:rPr>
                  <w:rFonts w:ascii="Cambria Math" w:hAnsi="Cambria Math" w:eastAsia="Calibri"/>
                  <w:lang w:val="en-US" w:eastAsia="zh-CN"/>
                </w:rPr>
                <m:t>25</m:t>
              </m:r>
              <m:r>
                <w:rPr>
                  <w:rFonts w:ascii="Cambria Math" w:hAnsi="Cambria Math" w:eastAsia="Calibri"/>
                  <w:lang w:eastAsia="zh-CN"/>
                </w:rPr>
                <m:t>μs</m:t>
              </m:r>
            </m:oMath>
            <w:r>
              <w:rPr>
                <w:rFonts w:ascii="Times New Roman" w:hAnsi="Times New Roman" w:eastAsia="Calibri" w:cs="Times New Roman"/>
                <w:lang w:val="en-US" w:eastAsia="zh-CN" w:bidi="ar-SA"/>
              </w:rPr>
              <w:t xml:space="preserve">  after a SL transmission by another UE in a shared channel occupancy as described in clause 4.5.3</w:t>
            </w:r>
            <w:r>
              <w:rPr>
                <w:rFonts w:ascii="Times New Roman" w:hAnsi="Times New Roman" w:eastAsia="Calibri" w:cs="Times New Roman"/>
                <w:lang w:val="en-GB" w:eastAsia="zh-CN" w:bidi="ar-SA"/>
              </w:rPr>
              <w:t xml:space="preserve">, </w:t>
            </w:r>
            <w:r>
              <w:rPr>
                <w:rFonts w:ascii="Times New Roman" w:hAnsi="Times New Roman" w:eastAsia="Calibri" w:cs="Times New Roman"/>
                <w:lang w:val="en-US" w:eastAsia="zh-CN" w:bidi="ar-SA"/>
              </w:rPr>
              <w:t>the UE uses Type 2A SL channel access procedures for the SL transmission.</w:t>
            </w:r>
          </w:p>
          <w:p>
            <w:pPr>
              <w:spacing w:after="180"/>
              <w:ind w:left="568" w:hanging="284"/>
              <w:rPr>
                <w:rFonts w:ascii="Times New Roman" w:hAnsi="Times New Roman" w:eastAsia="Calibri" w:cs="Times New Roman"/>
                <w:lang w:val="en-US" w:eastAsia="en-US" w:bidi="ar-SA"/>
              </w:rPr>
            </w:pPr>
            <w:r>
              <w:rPr>
                <w:rFonts w:ascii="Times New Roman" w:hAnsi="Times New Roman" w:eastAsia="Calibri" w:cs="Times New Roman"/>
                <w:lang w:val="en-US" w:eastAsia="en-US" w:bidi="ar-SA"/>
              </w:rPr>
              <w:t>-</w:t>
            </w:r>
            <w:r>
              <w:rPr>
                <w:rFonts w:ascii="Times New Roman" w:hAnsi="Times New Roman" w:eastAsia="Calibri" w:cs="Times New Roman"/>
                <w:lang w:val="en-US" w:eastAsia="en-US" w:bidi="ar-SA"/>
              </w:rPr>
              <w:tab/>
            </w:r>
            <w:r>
              <w:rPr>
                <w:rFonts w:ascii="Times New Roman" w:hAnsi="Times New Roman" w:eastAsia="Calibri" w:cs="Times New Roman"/>
                <w:lang w:val="en-US" w:eastAsia="en-US" w:bidi="ar-SA"/>
              </w:rPr>
              <w:t xml:space="preserve">If a UE intends to transmit only S-SSB </w:t>
            </w:r>
            <w:r>
              <w:rPr>
                <w:rFonts w:hint="eastAsia" w:ascii="Times New Roman" w:hAnsi="Times New Roman" w:eastAsia="宋体" w:cs="Times New Roman"/>
                <w:color w:val="FF0000"/>
                <w:lang w:val="en-US" w:eastAsia="zh-CN" w:bidi="ar-SA"/>
              </w:rPr>
              <w:t>or only PSFCH</w:t>
            </w:r>
            <w:r>
              <w:rPr>
                <w:rFonts w:hint="eastAsia" w:ascii="Times New Roman" w:hAnsi="Times New Roman" w:eastAsia="宋体" w:cs="Times New Roman"/>
                <w:lang w:val="en-US" w:eastAsia="zh-CN" w:bidi="ar-SA"/>
              </w:rPr>
              <w:t xml:space="preserve"> </w:t>
            </w:r>
            <w:r>
              <w:rPr>
                <w:rFonts w:ascii="Times New Roman" w:hAnsi="Times New Roman" w:eastAsia="Calibri" w:cs="Times New Roman"/>
                <w:lang w:val="en-US" w:eastAsia="en-US" w:bidi="ar-SA"/>
              </w:rPr>
              <w:t>in transmission(s) where the time duration of S-SSB</w:t>
            </w:r>
            <w:r>
              <w:rPr>
                <w:rFonts w:hint="eastAsia" w:ascii="Times New Roman" w:hAnsi="Times New Roman" w:eastAsia="宋体" w:cs="Times New Roman"/>
                <w:lang w:val="en-US" w:eastAsia="zh-CN" w:bidi="ar-SA"/>
              </w:rPr>
              <w:t xml:space="preserve"> </w:t>
            </w:r>
            <w:r>
              <w:rPr>
                <w:rFonts w:hint="eastAsia" w:ascii="Times New Roman" w:hAnsi="Times New Roman" w:eastAsia="宋体" w:cs="Times New Roman"/>
                <w:color w:val="FF0000"/>
                <w:lang w:val="en-US" w:eastAsia="zh-CN" w:bidi="ar-SA"/>
              </w:rPr>
              <w:t>or PSFCH</w:t>
            </w:r>
            <w:r>
              <w:rPr>
                <w:rFonts w:ascii="Times New Roman" w:hAnsi="Times New Roman" w:eastAsia="Calibri" w:cs="Times New Roman"/>
                <w:lang w:val="en-US" w:eastAsia="en-US" w:bidi="ar-SA"/>
              </w:rPr>
              <w:t xml:space="preserve"> transmission(s) is at most </w:t>
            </w:r>
            <m:oMath>
              <m:r>
                <w:rPr>
                  <w:rFonts w:ascii="Cambria Math" w:hAnsi="Cambria Math" w:eastAsia="Calibri"/>
                  <w:lang w:val="en-US"/>
                </w:rPr>
                <m:t>1ms</m:t>
              </m:r>
            </m:oMath>
            <w:r>
              <w:rPr>
                <w:rFonts w:ascii="Times New Roman" w:hAnsi="Times New Roman" w:eastAsia="Calibri" w:cs="Times New Roman"/>
                <w:lang w:val="en-US" w:eastAsia="en-US" w:bidi="ar-SA"/>
              </w:rPr>
              <w:t xml:space="preserve"> with a </w:t>
            </w:r>
            <w:r>
              <w:rPr>
                <w:rFonts w:ascii="Times New Roman" w:hAnsi="Times New Roman" w:eastAsia="Calibri" w:cs="Times New Roman"/>
                <w:lang w:val="en-GB" w:eastAsia="en-US" w:bidi="ar-SA"/>
              </w:rPr>
              <w:t xml:space="preserve">duty cycle of at most </w:t>
            </w:r>
            <m:oMath>
              <m:f>
                <m:fPr>
                  <m:type m:val="lin"/>
                  <m:ctrlPr>
                    <w:rPr>
                      <w:rFonts w:ascii="Cambria Math" w:hAnsi="Cambria Math" w:eastAsia="Calibri"/>
                      <w:i/>
                    </w:rPr>
                  </m:ctrlPr>
                </m:fPr>
                <m:num>
                  <m:r>
                    <w:rPr>
                      <w:rFonts w:ascii="Cambria Math" w:hAnsi="Cambria Math" w:eastAsia="Calibri"/>
                      <w:lang w:val="en-US"/>
                    </w:rPr>
                    <m:t>1</m:t>
                  </m:r>
                  <m:ctrlPr>
                    <w:rPr>
                      <w:rFonts w:ascii="Cambria Math" w:hAnsi="Cambria Math" w:eastAsia="Calibri"/>
                      <w:i/>
                    </w:rPr>
                  </m:ctrlPr>
                </m:num>
                <m:den>
                  <m:r>
                    <w:rPr>
                      <w:rFonts w:ascii="Cambria Math" w:hAnsi="Cambria Math" w:eastAsia="Calibri"/>
                      <w:lang w:val="en-US"/>
                    </w:rPr>
                    <m:t>20</m:t>
                  </m:r>
                  <m:ctrlPr>
                    <w:rPr>
                      <w:rFonts w:ascii="Cambria Math" w:hAnsi="Cambria Math" w:eastAsia="Calibri"/>
                      <w:i/>
                    </w:rPr>
                  </m:ctrlPr>
                </m:den>
              </m:f>
            </m:oMath>
            <w:r>
              <w:rPr>
                <w:rFonts w:ascii="Times New Roman" w:hAnsi="Times New Roman" w:eastAsia="Calibri" w:cs="Times New Roman"/>
                <w:lang w:val="en-GB" w:eastAsia="en-US" w:bidi="ar-SA"/>
              </w:rPr>
              <w:t xml:space="preserve">, </w:t>
            </w:r>
            <w:r>
              <w:rPr>
                <w:rFonts w:ascii="Times New Roman" w:hAnsi="Times New Roman" w:eastAsia="Calibri" w:cs="Times New Roman"/>
                <w:lang w:val="en-US" w:eastAsia="en-US" w:bidi="ar-SA"/>
              </w:rPr>
              <w:t>the UE uses Type 2A SL channel access procedures for the SL transmission(s).</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default"/>
          <w:b/>
          <w:i/>
          <w:iCs w:val="0"/>
          <w:strike w:val="0"/>
          <w:dstrike w:val="0"/>
          <w:szCs w:val="20"/>
          <w:lang w:val="en-US" w:eastAsia="zh-CN"/>
        </w:rPr>
      </w:pPr>
    </w:p>
    <w:p>
      <w:pPr>
        <w:rPr>
          <w:rFonts w:hint="eastAsia"/>
          <w:lang w:val="en-US" w:eastAsia="zh-CN"/>
        </w:rPr>
      </w:pPr>
      <w:r>
        <w:rPr>
          <w:rFonts w:hint="eastAsia"/>
          <w:b w:val="0"/>
          <w:bCs/>
          <w:i w:val="0"/>
          <w:iCs/>
          <w:szCs w:val="20"/>
          <w:lang w:val="en-US" w:eastAsia="zh-CN"/>
        </w:rPr>
        <w:t>In RAN1#112 meeting, the following agreement was made [</w:t>
      </w:r>
      <w:r>
        <w:rPr>
          <w:rFonts w:hint="eastAsia"/>
          <w:b w:val="0"/>
          <w:bCs/>
          <w:i w:val="0"/>
          <w:iCs/>
          <w:szCs w:val="20"/>
          <w:highlight w:val="none"/>
          <w:lang w:val="en-US" w:eastAsia="zh-CN"/>
        </w:rPr>
        <w:t>4</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Calibri" w:cs="Times New Roman"/>
                <w:sz w:val="22"/>
                <w:szCs w:val="22"/>
                <w:lang w:eastAsia="zh-CN"/>
              </w:rPr>
            </w:pPr>
            <w:r>
              <w:rPr>
                <w:rFonts w:hint="eastAsia" w:ascii="Times New Roman" w:hAnsi="Times New Roman" w:eastAsia="MS Mincho" w:cs="Times New Roman"/>
                <w:b/>
                <w:bCs/>
                <w:sz w:val="22"/>
                <w:szCs w:val="22"/>
                <w:highlight w:val="green"/>
              </w:rPr>
              <w:t>Agreement</w:t>
            </w:r>
          </w:p>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Calibri" w:cs="Times New Roman"/>
                <w:sz w:val="22"/>
                <w:szCs w:val="22"/>
                <w:lang w:eastAsia="zh-CN"/>
              </w:rPr>
            </w:pPr>
            <w:r>
              <w:rPr>
                <w:rFonts w:hint="eastAsia" w:ascii="Times New Roman" w:hAnsi="Times New Roman" w:eastAsia="Calibri" w:cs="Times New Roman"/>
                <w:sz w:val="22"/>
                <w:szCs w:val="22"/>
                <w:lang w:eastAsia="zh-CN"/>
              </w:rPr>
              <w:t>The CAPC level that should be used for S-SSB transmissions:</w:t>
            </w:r>
          </w:p>
          <w:p>
            <w:pPr>
              <w:keepNext w:val="0"/>
              <w:keepLines w:val="0"/>
              <w:widowControl w:val="0"/>
              <w:numPr>
                <w:ilvl w:val="0"/>
                <w:numId w:val="13"/>
              </w:numPr>
              <w:suppressLineNumbers w:val="0"/>
              <w:autoSpaceDE w:val="0"/>
              <w:autoSpaceDN w:val="0"/>
              <w:adjustRightInd/>
              <w:snapToGrid/>
              <w:spacing w:before="0" w:beforeAutospacing="0" w:after="0" w:afterAutospacing="0"/>
              <w:ind w:left="720" w:right="0" w:hanging="360"/>
              <w:jc w:val="left"/>
              <w:rPr>
                <w:rFonts w:hint="eastAsia" w:ascii="Times New Roman" w:hAnsi="Times New Roman" w:eastAsia="Calibri" w:cs="Times New Roman"/>
                <w:sz w:val="22"/>
                <w:szCs w:val="22"/>
              </w:rPr>
            </w:pPr>
            <w:r>
              <w:rPr>
                <w:rFonts w:hint="eastAsia" w:ascii="Times New Roman" w:hAnsi="Times New Roman" w:eastAsia="Calibri" w:cs="Times New Roman"/>
                <w:sz w:val="22"/>
                <w:szCs w:val="22"/>
              </w:rPr>
              <w:t>Option 1: CAPC value (p) should be set to 1 when UE performs Type 1 channel access procedure for S-SSB transmission</w:t>
            </w:r>
          </w:p>
          <w:p>
            <w:pPr>
              <w:keepNext w:val="0"/>
              <w:keepLines w:val="0"/>
              <w:widowControl w:val="0"/>
              <w:suppressLineNumbers w:val="0"/>
              <w:autoSpaceDE w:val="0"/>
              <w:autoSpaceDN w:val="0"/>
              <w:adjustRightInd/>
              <w:snapToGrid/>
              <w:spacing w:before="0" w:beforeAutospacing="0" w:after="0" w:afterAutospacing="0"/>
              <w:ind w:left="0" w:right="0"/>
              <w:jc w:val="left"/>
              <w:rPr>
                <w:rFonts w:hint="eastAsia" w:ascii="Times New Roman" w:hAnsi="Times New Roman" w:eastAsia="Calibri" w:cs="Times New Roman"/>
                <w:sz w:val="22"/>
                <w:szCs w:val="22"/>
              </w:rPr>
            </w:pPr>
          </w:p>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MS Mincho" w:cs="Times New Roman"/>
                <w:sz w:val="22"/>
                <w:szCs w:val="22"/>
                <w:highlight w:val="green"/>
              </w:rPr>
            </w:pPr>
            <w:r>
              <w:rPr>
                <w:rFonts w:hint="eastAsia" w:ascii="Times New Roman" w:hAnsi="Times New Roman" w:eastAsia="MS Mincho" w:cs="Times New Roman"/>
                <w:b/>
                <w:bCs/>
                <w:sz w:val="22"/>
                <w:szCs w:val="22"/>
                <w:highlight w:val="green"/>
              </w:rPr>
              <w:t>Agreement</w:t>
            </w:r>
          </w:p>
          <w:p>
            <w:pPr>
              <w:keepNext w:val="0"/>
              <w:keepLines w:val="0"/>
              <w:widowControl w:val="0"/>
              <w:suppressLineNumbers w:val="0"/>
              <w:autoSpaceDE/>
              <w:autoSpaceDN/>
              <w:adjustRightInd/>
              <w:snapToGrid/>
              <w:spacing w:before="0" w:beforeAutospacing="0" w:after="0" w:afterAutospacing="0"/>
              <w:ind w:left="0" w:right="0"/>
              <w:jc w:val="left"/>
              <w:rPr>
                <w:rFonts w:hint="default"/>
                <w:vertAlign w:val="baseline"/>
                <w:lang w:val="en-US" w:eastAsia="zh-CN"/>
              </w:rPr>
            </w:pPr>
            <w:r>
              <w:rPr>
                <w:rFonts w:hint="eastAsia" w:ascii="Times New Roman" w:hAnsi="Times New Roman" w:eastAsia="Calibri" w:cs="Times New Roman"/>
                <w:sz w:val="22"/>
                <w:szCs w:val="22"/>
                <w:lang w:eastAsia="zh-CN"/>
              </w:rPr>
              <w:t>The CAPC level that should be used for PSFCH transmission, CAPC value (p) should be set to 1 when UE performs Type 1 channel access procedure for PSFCH transmission</w:t>
            </w:r>
          </w:p>
        </w:tc>
      </w:tr>
    </w:tbl>
    <w:p>
      <w:pPr>
        <w:rPr>
          <w:rFonts w:hint="default"/>
          <w:b/>
          <w:i/>
          <w:iCs w:val="0"/>
          <w:strike w:val="0"/>
          <w:dstrike w:val="0"/>
          <w:szCs w:val="20"/>
          <w:lang w:val="en-US" w:eastAsia="zh-CN"/>
        </w:rPr>
      </w:pPr>
    </w:p>
    <w:p>
      <w:pPr>
        <w:rPr>
          <w:rFonts w:hint="default"/>
          <w:b w:val="0"/>
          <w:bCs w:val="0"/>
          <w:i w:val="0"/>
          <w:iCs w:val="0"/>
          <w:lang w:val="en-US" w:eastAsia="zh-CN"/>
        </w:rPr>
      </w:pPr>
      <w:r>
        <w:rPr>
          <w:rFonts w:hint="eastAsia" w:cs="Times New Roman"/>
          <w:sz w:val="22"/>
          <w:szCs w:val="20"/>
          <w:lang w:val="en-US" w:eastAsia="zh-CN"/>
        </w:rPr>
        <w:t>According to</w:t>
      </w:r>
      <w:r>
        <w:rPr>
          <w:rFonts w:hint="eastAsia" w:ascii="Times New Roman" w:hAnsi="Times New Roman" w:cs="Times New Roman"/>
          <w:sz w:val="22"/>
          <w:szCs w:val="20"/>
          <w:lang w:val="en-US" w:eastAsia="zh-CN"/>
        </w:rPr>
        <w:t xml:space="preserve"> this</w:t>
      </w:r>
      <w:r>
        <w:rPr>
          <w:rFonts w:ascii="Times New Roman" w:hAnsi="Times New Roman" w:cs="Times New Roman"/>
          <w:sz w:val="22"/>
          <w:szCs w:val="20"/>
        </w:rPr>
        <w:t xml:space="preserve"> agreement</w:t>
      </w:r>
      <w:r>
        <w:rPr>
          <w:rFonts w:hint="eastAsia" w:ascii="Times New Roman" w:hAnsi="Times New Roman" w:cs="Times New Roman"/>
          <w:sz w:val="22"/>
          <w:szCs w:val="20"/>
          <w:lang w:val="en-US" w:eastAsia="zh-CN"/>
        </w:rPr>
        <w:t>,</w:t>
      </w:r>
      <w:r>
        <w:rPr>
          <w:rFonts w:ascii="Times New Roman" w:hAnsi="Times New Roman" w:cs="Times New Roman"/>
          <w:sz w:val="22"/>
          <w:szCs w:val="20"/>
        </w:rPr>
        <w:t xml:space="preserve"> for using CAPC</w:t>
      </w:r>
      <w:r>
        <w:rPr>
          <w:rFonts w:hint="eastAsia" w:cs="Times New Roman"/>
          <w:sz w:val="22"/>
          <w:szCs w:val="20"/>
          <w:lang w:val="en-US" w:eastAsia="zh-CN"/>
        </w:rPr>
        <w:t xml:space="preserve"> value</w:t>
      </w:r>
      <w:r>
        <w:rPr>
          <w:rFonts w:ascii="Times New Roman" w:hAnsi="Times New Roman" w:cs="Times New Roman"/>
          <w:sz w:val="22"/>
          <w:szCs w:val="20"/>
        </w:rPr>
        <w:t xml:space="preserve"> 1 </w:t>
      </w:r>
      <w:r>
        <w:rPr>
          <w:rFonts w:hint="eastAsia" w:cs="Times New Roman"/>
          <w:sz w:val="22"/>
          <w:szCs w:val="20"/>
          <w:lang w:val="en-US" w:eastAsia="zh-CN"/>
        </w:rPr>
        <w:t xml:space="preserve">applies only to PSFCH or S-SSB transmissions.  It does not indicate that CAPC value 1 can be used when PSSCH/PSCCH and PSFCH/S-SSB are transmitted consecutively. </w:t>
      </w:r>
      <w:bookmarkStart w:id="12" w:name="_Hlk26479819"/>
      <w:r>
        <w:rPr>
          <w:rFonts w:hint="eastAsia"/>
          <w:lang w:val="en-US" w:eastAsia="zh-CN"/>
        </w:rPr>
        <w:t xml:space="preserve">However, in current specification, </w:t>
      </w:r>
      <w:r>
        <w:rPr>
          <w:rFonts w:ascii="Times New Roman" w:hAnsi="Times New Roman" w:cs="Times New Roman"/>
          <w:sz w:val="22"/>
          <w:szCs w:val="20"/>
        </w:rPr>
        <w:t>“including PSFCH or S-SSB transmission(s)” c</w:t>
      </w:r>
      <w:r>
        <w:rPr>
          <w:rFonts w:hint="eastAsia" w:ascii="Times New Roman" w:hAnsi="Times New Roman" w:cs="Times New Roman"/>
          <w:sz w:val="22"/>
          <w:szCs w:val="20"/>
          <w:lang w:val="en-US" w:eastAsia="zh-CN"/>
        </w:rPr>
        <w:t>an</w:t>
      </w:r>
      <w:r>
        <w:rPr>
          <w:rFonts w:ascii="Times New Roman" w:hAnsi="Times New Roman" w:cs="Times New Roman"/>
          <w:sz w:val="22"/>
          <w:szCs w:val="20"/>
        </w:rPr>
        <w:t xml:space="preserve"> be interpreted as possibl</w:t>
      </w:r>
      <w:r>
        <w:rPr>
          <w:rFonts w:hint="eastAsia" w:ascii="Times New Roman" w:hAnsi="Times New Roman" w:cs="Times New Roman"/>
          <w:sz w:val="22"/>
          <w:szCs w:val="20"/>
          <w:lang w:val="en-US" w:eastAsia="zh-CN"/>
        </w:rPr>
        <w:t>y being</w:t>
      </w:r>
      <w:r>
        <w:rPr>
          <w:rFonts w:ascii="Times New Roman" w:hAnsi="Times New Roman" w:cs="Times New Roman"/>
          <w:sz w:val="22"/>
          <w:szCs w:val="20"/>
        </w:rPr>
        <w:t xml:space="preserve"> multiplex</w:t>
      </w:r>
      <w:r>
        <w:rPr>
          <w:rFonts w:hint="eastAsia" w:ascii="Times New Roman" w:hAnsi="Times New Roman" w:cs="Times New Roman"/>
          <w:sz w:val="22"/>
          <w:szCs w:val="20"/>
          <w:lang w:val="en-US" w:eastAsia="zh-CN"/>
        </w:rPr>
        <w:t>ed</w:t>
      </w:r>
      <w:r>
        <w:rPr>
          <w:rFonts w:ascii="Times New Roman" w:hAnsi="Times New Roman" w:cs="Times New Roman"/>
          <w:sz w:val="22"/>
          <w:szCs w:val="20"/>
        </w:rPr>
        <w:t xml:space="preserve"> with other channels</w:t>
      </w:r>
      <w:r>
        <w:rPr>
          <w:rFonts w:hint="eastAsia" w:ascii="Times New Roman" w:hAnsi="Times New Roman" w:cs="Times New Roman"/>
          <w:sz w:val="22"/>
          <w:szCs w:val="20"/>
          <w:lang w:val="en-US" w:eastAsia="zh-CN"/>
        </w:rPr>
        <w:t>, which is inaccurate</w:t>
      </w:r>
      <w:r>
        <w:rPr>
          <w:rFonts w:ascii="Times New Roman" w:hAnsi="Times New Roman" w:cs="Times New Roman"/>
          <w:sz w:val="22"/>
          <w:szCs w:val="20"/>
        </w:rPr>
        <w:t xml:space="preserve">. </w:t>
      </w:r>
      <w:r>
        <w:rPr>
          <w:rFonts w:hint="eastAsia" w:cs="Times New Roman"/>
          <w:sz w:val="22"/>
          <w:szCs w:val="20"/>
          <w:lang w:val="en-US" w:eastAsia="zh-CN"/>
        </w:rPr>
        <w:t xml:space="preserve">Furthermore, in NR-U, </w:t>
      </w:r>
      <w:bookmarkStart w:id="13" w:name="_Hlk26439537"/>
      <w:r>
        <w:rPr>
          <w:rFonts w:hint="eastAsia" w:cs="Times New Roman"/>
          <w:sz w:val="22"/>
          <w:szCs w:val="20"/>
          <w:lang w:val="en-US" w:eastAsia="zh-CN"/>
        </w:rPr>
        <w:t>a</w:t>
      </w:r>
      <w:r>
        <w:rPr>
          <w:lang w:val="en-US"/>
        </w:rPr>
        <w:t xml:space="preserve"> gNB may use any channel access priority class for performing </w:t>
      </w:r>
      <w:r>
        <w:rPr>
          <w:rFonts w:hint="eastAsia"/>
          <w:lang w:val="en-US" w:eastAsia="zh-CN"/>
        </w:rPr>
        <w:t>type 1 DL channel access procedure</w:t>
      </w:r>
      <w:r>
        <w:rPr>
          <w:lang w:val="en-US"/>
        </w:rPr>
        <w:t xml:space="preserve"> to transmit transmission(s) including discovery burst(s)</w:t>
      </w:r>
      <w:bookmarkEnd w:id="13"/>
      <w:r>
        <w:rPr>
          <w:lang w:val="en-US"/>
        </w:rPr>
        <w:t>.</w:t>
      </w:r>
      <w:r>
        <w:rPr>
          <w:rFonts w:hint="eastAsia"/>
          <w:lang w:val="en-US" w:eastAsia="zh-CN"/>
        </w:rPr>
        <w:t xml:space="preserve"> To follow the same principle</w:t>
      </w:r>
      <w:r>
        <w:rPr>
          <w:rFonts w:hint="eastAsia"/>
          <w:b w:val="0"/>
          <w:bCs w:val="0"/>
          <w:i w:val="0"/>
          <w:iCs w:val="0"/>
          <w:lang w:val="en-US" w:eastAsia="zh-CN"/>
        </w:rPr>
        <w:t>, the following TP#2 is prepared.</w:t>
      </w:r>
    </w:p>
    <w:p>
      <w:pPr>
        <w:rPr>
          <w:rFonts w:hint="eastAsia"/>
          <w:b w:val="0"/>
          <w:bCs w:val="0"/>
          <w:i w:val="0"/>
          <w:iCs w:val="0"/>
          <w:lang w:val="en-US" w:eastAsia="zh-CN"/>
        </w:rPr>
      </w:pPr>
      <w:r>
        <w:rPr>
          <w:rFonts w:hint="eastAsia"/>
          <w:b w:val="0"/>
          <w:bCs w:val="0"/>
          <w:i w:val="0"/>
          <w:iCs w:val="0"/>
          <w:lang w:val="en-US" w:eastAsia="zh-CN"/>
        </w:rPr>
        <w:t>The TP#2 of clause 4.5 of TS 37.213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widowControl w:val="0"/>
              <w:suppressLineNumbers w:val="0"/>
              <w:pBdr>
                <w:top w:val="none" w:color="auto" w:sz="0" w:space="0"/>
              </w:pBdr>
              <w:spacing w:before="180" w:beforeAutospacing="0" w:after="180" w:afterAutospacing="0"/>
              <w:ind w:left="1134" w:right="0" w:hanging="1134"/>
              <w:outlineLvl w:val="1"/>
              <w:rPr>
                <w:rFonts w:hint="eastAsia" w:ascii="Arial" w:hAnsi="Arial" w:eastAsia="Times New Roman" w:cs="Times New Roman"/>
                <w:sz w:val="32"/>
                <w:lang w:val="en-GB" w:eastAsia="en-US" w:bidi="ar-SA"/>
              </w:rPr>
            </w:pPr>
            <w:bookmarkStart w:id="14" w:name="_Toc145512933"/>
            <w:r>
              <w:rPr>
                <w:rFonts w:hint="eastAsia" w:ascii="Arial" w:hAnsi="Arial" w:eastAsia="Times New Roman" w:cs="Times New Roman"/>
                <w:sz w:val="32"/>
                <w:lang w:val="en-GB" w:eastAsia="en-US" w:bidi="ar-SA"/>
              </w:rPr>
              <w:t>4.5</w:t>
            </w:r>
            <w:r>
              <w:rPr>
                <w:rFonts w:hint="eastAsia"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Sidelink Channel access procedures</w:t>
            </w:r>
            <w:bookmarkEnd w:id="14"/>
          </w:p>
          <w:p>
            <w:pPr>
              <w:keepNext w:val="0"/>
              <w:keepLines w:val="0"/>
              <w:widowControl w:val="0"/>
              <w:suppressLineNumbers w:val="0"/>
              <w:autoSpaceDE/>
              <w:autoSpaceDN/>
              <w:adjustRightInd/>
              <w:snapToGrid/>
              <w:spacing w:before="0" w:beforeAutospacing="0" w:after="180" w:afterAutospacing="0"/>
              <w:ind w:left="0" w:right="0"/>
              <w:jc w:val="center"/>
              <w:rPr>
                <w:rFonts w:hint="eastAsia"/>
                <w:sz w:val="20"/>
                <w:szCs w:val="20"/>
              </w:rPr>
            </w:pPr>
            <w:r>
              <w:rPr>
                <w:rFonts w:hint="eastAsia"/>
                <w:sz w:val="20"/>
                <w:szCs w:val="20"/>
              </w:rPr>
              <w:t>……</w:t>
            </w:r>
          </w:p>
          <w:p>
            <w:pPr>
              <w:keepNext w:val="0"/>
              <w:keepLines w:val="0"/>
              <w:widowControl w:val="0"/>
              <w:suppressLineNumbers w:val="0"/>
              <w:autoSpaceDE/>
              <w:autoSpaceDN/>
              <w:adjustRightInd/>
              <w:snapToGrid/>
              <w:spacing w:before="0" w:beforeAutospacing="0" w:after="180" w:afterAutospacing="0"/>
              <w:ind w:left="0" w:right="0"/>
              <w:jc w:val="left"/>
              <w:rPr>
                <w:rFonts w:hint="eastAsia" w:eastAsia="Times New Roman"/>
                <w:sz w:val="20"/>
                <w:szCs w:val="20"/>
                <w:lang w:val="en-US"/>
              </w:rPr>
            </w:pPr>
            <w:r>
              <w:rPr>
                <w:rFonts w:hint="eastAsia" w:eastAsia="Malgun Gothic"/>
                <w:sz w:val="20"/>
                <w:szCs w:val="20"/>
                <w:lang w:val="en-GB"/>
              </w:rPr>
              <w:t xml:space="preserve">When a UE applies Type 1 channel access procedures to transmit SL transmission(s) including </w:t>
            </w:r>
            <w:r>
              <w:rPr>
                <w:rFonts w:hint="eastAsia" w:eastAsia="宋体"/>
                <w:color w:val="FF0000"/>
                <w:sz w:val="20"/>
                <w:szCs w:val="20"/>
                <w:lang w:val="en-US" w:eastAsia="zh-CN"/>
              </w:rPr>
              <w:t>only</w:t>
            </w:r>
            <w:r>
              <w:rPr>
                <w:rFonts w:hint="eastAsia" w:eastAsia="宋体"/>
                <w:sz w:val="20"/>
                <w:szCs w:val="20"/>
                <w:lang w:val="en-US" w:eastAsia="zh-CN"/>
              </w:rPr>
              <w:t xml:space="preserve"> </w:t>
            </w:r>
            <w:r>
              <w:rPr>
                <w:rFonts w:hint="eastAsia" w:eastAsia="Malgun Gothic"/>
                <w:sz w:val="20"/>
                <w:szCs w:val="20"/>
                <w:lang w:val="en-GB"/>
              </w:rPr>
              <w:t xml:space="preserve">PSFCH or </w:t>
            </w:r>
            <w:r>
              <w:rPr>
                <w:rFonts w:hint="eastAsia" w:eastAsia="宋体"/>
                <w:color w:val="FF0000"/>
                <w:sz w:val="20"/>
                <w:szCs w:val="20"/>
                <w:lang w:val="en-US" w:eastAsia="zh-CN"/>
              </w:rPr>
              <w:t>only</w:t>
            </w:r>
            <w:r>
              <w:rPr>
                <w:rFonts w:hint="eastAsia" w:eastAsia="宋体"/>
                <w:sz w:val="20"/>
                <w:szCs w:val="20"/>
                <w:lang w:val="en-US" w:eastAsia="zh-CN"/>
              </w:rPr>
              <w:t xml:space="preserve"> </w:t>
            </w:r>
            <w:r>
              <w:rPr>
                <w:rFonts w:hint="eastAsia" w:eastAsia="Malgun Gothic"/>
                <w:sz w:val="20"/>
                <w:szCs w:val="20"/>
                <w:lang w:val="en-GB"/>
              </w:rPr>
              <w:t>S-SSB</w:t>
            </w:r>
            <w:r>
              <w:rPr>
                <w:rFonts w:hint="eastAsia" w:eastAsia="Times New Roman"/>
                <w:sz w:val="20"/>
                <w:szCs w:val="20"/>
                <w:lang w:val="en-GB"/>
              </w:rPr>
              <w:t xml:space="preserve"> transmission(s), the UE shall use</w:t>
            </w:r>
            <w:r>
              <w:rPr>
                <w:rFonts w:hint="eastAsia" w:eastAsia="Times New Roman"/>
                <w:sz w:val="20"/>
                <w:szCs w:val="20"/>
                <w:lang w:val="en-US"/>
              </w:rPr>
              <w:t xml:space="preserve"> the channel access priority class </w:t>
            </w:r>
            <m:oMath>
              <m:r>
                <w:rPr>
                  <w:rFonts w:hint="eastAsia" w:ascii="Cambria Math" w:hAnsi="Cambria Math"/>
                </w:rPr>
                <m:t>p</m:t>
              </m:r>
              <m:r>
                <w:rPr>
                  <w:rFonts w:hint="eastAsia" w:ascii="Cambria Math" w:hAnsi="Cambria Math"/>
                  <w:lang w:val="en-US"/>
                </w:rPr>
                <m:t>=1</m:t>
              </m:r>
            </m:oMath>
            <w:r>
              <w:rPr>
                <w:rFonts w:hint="eastAsia" w:eastAsia="Times New Roman"/>
                <w:sz w:val="20"/>
                <w:szCs w:val="20"/>
                <w:lang w:val="en-US"/>
              </w:rPr>
              <w:t xml:space="preserve"> in Table 4.5-1.</w:t>
            </w:r>
          </w:p>
          <w:p>
            <w:pPr>
              <w:keepNext w:val="0"/>
              <w:keepLines w:val="0"/>
              <w:widowControl w:val="0"/>
              <w:suppressLineNumbers w:val="0"/>
              <w:autoSpaceDE/>
              <w:autoSpaceDN/>
              <w:adjustRightInd/>
              <w:snapToGrid/>
              <w:spacing w:before="0" w:beforeAutospacing="0" w:after="180" w:afterAutospacing="0"/>
              <w:ind w:left="0" w:right="0"/>
              <w:jc w:val="left"/>
              <w:rPr>
                <w:rFonts w:hint="eastAsia" w:eastAsia="Times New Roman"/>
                <w:sz w:val="20"/>
                <w:szCs w:val="20"/>
                <w:lang w:val="en-US"/>
              </w:rPr>
            </w:pPr>
            <w:r>
              <w:rPr>
                <w:rFonts w:hint="eastAsia" w:eastAsia="Malgun Gothic"/>
                <w:sz w:val="20"/>
                <w:szCs w:val="20"/>
                <w:lang w:val="en-GB"/>
              </w:rPr>
              <w:t>When a UE applies Type 1 channel access procedures to transmit SL transmission(s) including</w:t>
            </w:r>
            <w:r>
              <w:rPr>
                <w:rFonts w:hint="eastAsia" w:eastAsia="宋体"/>
                <w:sz w:val="20"/>
                <w:szCs w:val="20"/>
                <w:lang w:val="en-US" w:eastAsia="zh-CN"/>
              </w:rPr>
              <w:t xml:space="preserve"> </w:t>
            </w:r>
            <w:r>
              <w:rPr>
                <w:rFonts w:hint="eastAsia" w:eastAsia="Malgun Gothic"/>
                <w:sz w:val="20"/>
                <w:szCs w:val="20"/>
                <w:lang w:val="en-GB"/>
              </w:rPr>
              <w:t>PSFCH or S-SSB</w:t>
            </w:r>
            <w:r>
              <w:rPr>
                <w:rFonts w:hint="eastAsia" w:eastAsia="Times New Roman"/>
                <w:sz w:val="20"/>
                <w:szCs w:val="20"/>
                <w:lang w:val="en-GB"/>
              </w:rPr>
              <w:t xml:space="preserve"> transmission(s), the UE </w:t>
            </w:r>
            <w:r>
              <w:rPr>
                <w:rFonts w:hint="eastAsia" w:eastAsia="宋体"/>
                <w:strike/>
                <w:dstrike w:val="0"/>
                <w:sz w:val="20"/>
                <w:szCs w:val="20"/>
                <w:lang w:val="en-US" w:eastAsia="zh-CN"/>
              </w:rPr>
              <w:t xml:space="preserve">shall </w:t>
            </w:r>
            <w:r>
              <w:rPr>
                <w:rFonts w:hint="eastAsia" w:eastAsia="宋体"/>
                <w:color w:val="FF0000"/>
                <w:sz w:val="20"/>
                <w:szCs w:val="20"/>
                <w:lang w:val="en-US" w:eastAsia="zh-CN"/>
              </w:rPr>
              <w:t>may</w:t>
            </w:r>
            <w:r>
              <w:rPr>
                <w:rFonts w:hint="eastAsia" w:eastAsia="Times New Roman"/>
                <w:sz w:val="20"/>
                <w:szCs w:val="20"/>
                <w:lang w:val="en-GB"/>
              </w:rPr>
              <w:t xml:space="preserve"> use</w:t>
            </w:r>
            <w:r>
              <w:rPr>
                <w:rFonts w:hint="eastAsia" w:eastAsia="Times New Roman"/>
                <w:sz w:val="20"/>
                <w:szCs w:val="20"/>
                <w:lang w:val="en-US"/>
              </w:rPr>
              <w:t xml:space="preserve"> </w:t>
            </w:r>
            <w:r>
              <w:rPr>
                <w:rFonts w:hint="eastAsia" w:eastAsia="Times New Roman"/>
                <w:strike/>
                <w:dstrike w:val="0"/>
                <w:sz w:val="20"/>
                <w:szCs w:val="20"/>
                <w:lang w:val="en-US"/>
              </w:rPr>
              <w:t xml:space="preserve">the </w:t>
            </w:r>
            <w:r>
              <w:rPr>
                <w:rFonts w:hint="eastAsia" w:eastAsia="宋体"/>
                <w:color w:val="FF0000"/>
                <w:sz w:val="20"/>
                <w:szCs w:val="20"/>
                <w:lang w:val="en-US" w:eastAsia="zh-CN"/>
              </w:rPr>
              <w:t>any</w:t>
            </w:r>
            <w:r>
              <w:rPr>
                <w:rFonts w:hint="eastAsia" w:eastAsia="宋体"/>
                <w:sz w:val="20"/>
                <w:szCs w:val="20"/>
                <w:lang w:val="en-US" w:eastAsia="zh-CN"/>
              </w:rPr>
              <w:t xml:space="preserve"> </w:t>
            </w:r>
            <w:r>
              <w:rPr>
                <w:rFonts w:hint="eastAsia" w:eastAsia="Times New Roman"/>
                <w:sz w:val="20"/>
                <w:szCs w:val="20"/>
                <w:lang w:val="en-US"/>
              </w:rPr>
              <w:t xml:space="preserve">channel access priority class </w:t>
            </w:r>
            <m:oMath>
              <m:r>
                <w:rPr>
                  <w:rFonts w:hint="eastAsia" w:ascii="Cambria Math" w:hAnsi="Cambria Math"/>
                  <w:strike/>
                  <w:dstrike w:val="0"/>
                </w:rPr>
                <m:t>p</m:t>
              </m:r>
              <m:r>
                <w:rPr>
                  <w:rFonts w:hint="eastAsia" w:ascii="Cambria Math" w:hAnsi="Cambria Math"/>
                  <w:strike/>
                  <w:dstrike w:val="0"/>
                  <w:lang w:val="en-US"/>
                </w:rPr>
                <m:t>=1</m:t>
              </m:r>
            </m:oMath>
            <w:r>
              <w:rPr>
                <w:rFonts w:hint="eastAsia" w:eastAsia="Times New Roman"/>
                <w:strike/>
                <w:dstrike w:val="0"/>
                <w:sz w:val="20"/>
                <w:szCs w:val="20"/>
                <w:lang w:val="en-US"/>
              </w:rPr>
              <w:t xml:space="preserve"> </w:t>
            </w:r>
            <w:r>
              <w:rPr>
                <w:rFonts w:hint="eastAsia" w:eastAsia="Times New Roman"/>
                <w:sz w:val="20"/>
                <w:szCs w:val="20"/>
                <w:lang w:val="en-US"/>
              </w:rPr>
              <w:t>in Table 4.5-1.</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default" w:eastAsia="宋体"/>
          <w:lang w:val="en-US" w:eastAsia="zh-CN"/>
        </w:rPr>
      </w:pPr>
    </w:p>
    <w:bookmarkEnd w:id="12"/>
    <w:p>
      <w:pPr>
        <w:rPr>
          <w:rFonts w:hint="default"/>
          <w:b/>
          <w:bCs/>
          <w:i/>
          <w:iCs/>
          <w:lang w:val="en-US" w:eastAsia="zh-CN"/>
        </w:rPr>
      </w:pPr>
      <w:r>
        <w:rPr>
          <w:rFonts w:ascii="Times New Roman" w:hAnsi="Times New Roman" w:cs="Times New Roman"/>
          <w:sz w:val="22"/>
          <w:szCs w:val="20"/>
        </w:rPr>
        <w:t xml:space="preserve"> </w:t>
      </w:r>
      <w:r>
        <w:rPr>
          <w:rFonts w:hint="eastAsia"/>
          <w:b/>
          <w:bCs/>
          <w:i/>
          <w:iCs/>
          <w:lang w:val="en-US" w:eastAsia="zh-CN"/>
        </w:rPr>
        <w:t>Proposal 3: Adopt the following TP#2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widowControl w:val="0"/>
              <w:suppressLineNumbers w:val="0"/>
              <w:pBdr>
                <w:top w:val="none" w:color="auto" w:sz="0" w:space="0"/>
              </w:pBdr>
              <w:spacing w:before="180" w:beforeAutospacing="0" w:after="180" w:afterAutospacing="0"/>
              <w:ind w:left="1134" w:right="0" w:hanging="1134"/>
              <w:outlineLvl w:val="1"/>
              <w:rPr>
                <w:rFonts w:hint="eastAsia" w:ascii="Arial" w:hAnsi="Arial" w:eastAsia="Times New Roman" w:cs="Times New Roman"/>
                <w:sz w:val="32"/>
                <w:lang w:val="en-GB" w:eastAsia="en-US" w:bidi="ar-SA"/>
              </w:rPr>
            </w:pPr>
            <w:r>
              <w:rPr>
                <w:rFonts w:hint="eastAsia" w:ascii="Arial" w:hAnsi="Arial" w:eastAsia="Times New Roman" w:cs="Times New Roman"/>
                <w:sz w:val="32"/>
                <w:lang w:val="en-GB" w:eastAsia="en-US" w:bidi="ar-SA"/>
              </w:rPr>
              <w:t>4.5</w:t>
            </w:r>
            <w:r>
              <w:rPr>
                <w:rFonts w:hint="eastAsia"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Sidelink Channel access procedures</w:t>
            </w:r>
          </w:p>
          <w:p>
            <w:pPr>
              <w:keepNext w:val="0"/>
              <w:keepLines w:val="0"/>
              <w:widowControl w:val="0"/>
              <w:suppressLineNumbers w:val="0"/>
              <w:autoSpaceDE/>
              <w:autoSpaceDN/>
              <w:adjustRightInd/>
              <w:snapToGrid/>
              <w:spacing w:before="0" w:beforeAutospacing="0" w:after="180" w:afterAutospacing="0"/>
              <w:ind w:left="0" w:right="0"/>
              <w:jc w:val="center"/>
              <w:rPr>
                <w:rFonts w:hint="eastAsia"/>
                <w:sz w:val="20"/>
                <w:szCs w:val="20"/>
              </w:rPr>
            </w:pPr>
            <w:r>
              <w:rPr>
                <w:rFonts w:hint="eastAsia"/>
                <w:sz w:val="20"/>
                <w:szCs w:val="20"/>
              </w:rPr>
              <w:t>……</w:t>
            </w:r>
          </w:p>
          <w:p>
            <w:pPr>
              <w:keepNext w:val="0"/>
              <w:keepLines w:val="0"/>
              <w:widowControl w:val="0"/>
              <w:suppressLineNumbers w:val="0"/>
              <w:autoSpaceDE/>
              <w:autoSpaceDN/>
              <w:adjustRightInd/>
              <w:snapToGrid/>
              <w:spacing w:before="0" w:beforeAutospacing="0" w:after="180" w:afterAutospacing="0"/>
              <w:ind w:left="0" w:right="0"/>
              <w:jc w:val="left"/>
              <w:rPr>
                <w:rFonts w:hint="eastAsia" w:eastAsia="Times New Roman"/>
                <w:sz w:val="20"/>
                <w:szCs w:val="20"/>
                <w:lang w:val="en-US"/>
              </w:rPr>
            </w:pPr>
            <w:r>
              <w:rPr>
                <w:rFonts w:hint="eastAsia" w:eastAsia="Malgun Gothic"/>
                <w:sz w:val="20"/>
                <w:szCs w:val="20"/>
                <w:lang w:val="en-GB"/>
              </w:rPr>
              <w:t xml:space="preserve">When a UE applies Type 1 channel access procedures to transmit SL transmission(s) including </w:t>
            </w:r>
            <w:r>
              <w:rPr>
                <w:rFonts w:hint="eastAsia" w:eastAsia="宋体"/>
                <w:color w:val="FF0000"/>
                <w:sz w:val="20"/>
                <w:szCs w:val="20"/>
                <w:lang w:val="en-US" w:eastAsia="zh-CN"/>
              </w:rPr>
              <w:t>only</w:t>
            </w:r>
            <w:r>
              <w:rPr>
                <w:rFonts w:hint="eastAsia" w:eastAsia="宋体"/>
                <w:sz w:val="20"/>
                <w:szCs w:val="20"/>
                <w:lang w:val="en-US" w:eastAsia="zh-CN"/>
              </w:rPr>
              <w:t xml:space="preserve"> </w:t>
            </w:r>
            <w:r>
              <w:rPr>
                <w:rFonts w:hint="eastAsia" w:eastAsia="Malgun Gothic"/>
                <w:sz w:val="20"/>
                <w:szCs w:val="20"/>
                <w:lang w:val="en-GB"/>
              </w:rPr>
              <w:t xml:space="preserve">PSFCH or </w:t>
            </w:r>
            <w:r>
              <w:rPr>
                <w:rFonts w:hint="eastAsia" w:eastAsia="宋体"/>
                <w:color w:val="FF0000"/>
                <w:sz w:val="20"/>
                <w:szCs w:val="20"/>
                <w:lang w:val="en-US" w:eastAsia="zh-CN"/>
              </w:rPr>
              <w:t>only</w:t>
            </w:r>
            <w:r>
              <w:rPr>
                <w:rFonts w:hint="eastAsia" w:eastAsia="宋体"/>
                <w:sz w:val="20"/>
                <w:szCs w:val="20"/>
                <w:lang w:val="en-US" w:eastAsia="zh-CN"/>
              </w:rPr>
              <w:t xml:space="preserve"> </w:t>
            </w:r>
            <w:r>
              <w:rPr>
                <w:rFonts w:hint="eastAsia" w:eastAsia="Malgun Gothic"/>
                <w:sz w:val="20"/>
                <w:szCs w:val="20"/>
                <w:lang w:val="en-GB"/>
              </w:rPr>
              <w:t>S-SSB</w:t>
            </w:r>
            <w:r>
              <w:rPr>
                <w:rFonts w:hint="eastAsia" w:eastAsia="Times New Roman"/>
                <w:sz w:val="20"/>
                <w:szCs w:val="20"/>
                <w:lang w:val="en-GB"/>
              </w:rPr>
              <w:t xml:space="preserve"> transmission(s), the UE shall use</w:t>
            </w:r>
            <w:r>
              <w:rPr>
                <w:rFonts w:hint="eastAsia" w:eastAsia="Times New Roman"/>
                <w:sz w:val="20"/>
                <w:szCs w:val="20"/>
                <w:lang w:val="en-US"/>
              </w:rPr>
              <w:t xml:space="preserve"> the channel access priority class </w:t>
            </w:r>
            <m:oMath>
              <m:r>
                <w:rPr>
                  <w:rFonts w:hint="eastAsia" w:ascii="Cambria Math" w:hAnsi="Cambria Math"/>
                </w:rPr>
                <m:t>p</m:t>
              </m:r>
              <m:r>
                <w:rPr>
                  <w:rFonts w:hint="eastAsia" w:ascii="Cambria Math" w:hAnsi="Cambria Math"/>
                  <w:lang w:val="en-US"/>
                </w:rPr>
                <m:t>=1</m:t>
              </m:r>
            </m:oMath>
            <w:r>
              <w:rPr>
                <w:rFonts w:hint="eastAsia" w:eastAsia="Times New Roman"/>
                <w:sz w:val="20"/>
                <w:szCs w:val="20"/>
                <w:lang w:val="en-US"/>
              </w:rPr>
              <w:t xml:space="preserve"> in Table 4.5-1.</w:t>
            </w:r>
          </w:p>
          <w:p>
            <w:pPr>
              <w:keepNext w:val="0"/>
              <w:keepLines w:val="0"/>
              <w:widowControl w:val="0"/>
              <w:suppressLineNumbers w:val="0"/>
              <w:autoSpaceDE/>
              <w:autoSpaceDN/>
              <w:adjustRightInd/>
              <w:snapToGrid/>
              <w:spacing w:before="0" w:beforeAutospacing="0" w:after="180" w:afterAutospacing="0"/>
              <w:ind w:left="0" w:right="0"/>
              <w:jc w:val="left"/>
              <w:rPr>
                <w:rFonts w:hint="eastAsia" w:eastAsia="Times New Roman"/>
                <w:sz w:val="20"/>
                <w:szCs w:val="20"/>
                <w:lang w:val="en-US"/>
              </w:rPr>
            </w:pPr>
            <w:r>
              <w:rPr>
                <w:rFonts w:hint="eastAsia" w:eastAsia="Malgun Gothic"/>
                <w:sz w:val="20"/>
                <w:szCs w:val="20"/>
                <w:lang w:val="en-GB"/>
              </w:rPr>
              <w:t>When a UE applies Type 1 channel access procedures to transmit SL transmission(s) including</w:t>
            </w:r>
            <w:r>
              <w:rPr>
                <w:rFonts w:hint="eastAsia" w:eastAsia="宋体"/>
                <w:sz w:val="20"/>
                <w:szCs w:val="20"/>
                <w:lang w:val="en-US" w:eastAsia="zh-CN"/>
              </w:rPr>
              <w:t xml:space="preserve"> </w:t>
            </w:r>
            <w:r>
              <w:rPr>
                <w:rFonts w:hint="eastAsia" w:eastAsia="Malgun Gothic"/>
                <w:sz w:val="20"/>
                <w:szCs w:val="20"/>
                <w:lang w:val="en-GB"/>
              </w:rPr>
              <w:t>PSFCH or S-SSB</w:t>
            </w:r>
            <w:r>
              <w:rPr>
                <w:rFonts w:hint="eastAsia" w:eastAsia="Times New Roman"/>
                <w:sz w:val="20"/>
                <w:szCs w:val="20"/>
                <w:lang w:val="en-GB"/>
              </w:rPr>
              <w:t xml:space="preserve"> transmission(s), the UE </w:t>
            </w:r>
            <w:r>
              <w:rPr>
                <w:rFonts w:hint="eastAsia" w:eastAsia="宋体"/>
                <w:strike/>
                <w:dstrike w:val="0"/>
                <w:sz w:val="20"/>
                <w:szCs w:val="20"/>
                <w:lang w:val="en-US" w:eastAsia="zh-CN"/>
              </w:rPr>
              <w:t xml:space="preserve">shall </w:t>
            </w:r>
            <w:r>
              <w:rPr>
                <w:rFonts w:hint="eastAsia" w:eastAsia="宋体"/>
                <w:color w:val="FF0000"/>
                <w:sz w:val="20"/>
                <w:szCs w:val="20"/>
                <w:lang w:val="en-US" w:eastAsia="zh-CN"/>
              </w:rPr>
              <w:t>may</w:t>
            </w:r>
            <w:r>
              <w:rPr>
                <w:rFonts w:hint="eastAsia" w:eastAsia="Times New Roman"/>
                <w:sz w:val="20"/>
                <w:szCs w:val="20"/>
                <w:lang w:val="en-GB"/>
              </w:rPr>
              <w:t xml:space="preserve"> use</w:t>
            </w:r>
            <w:r>
              <w:rPr>
                <w:rFonts w:hint="eastAsia" w:eastAsia="Times New Roman"/>
                <w:sz w:val="20"/>
                <w:szCs w:val="20"/>
                <w:lang w:val="en-US"/>
              </w:rPr>
              <w:t xml:space="preserve"> </w:t>
            </w:r>
            <w:r>
              <w:rPr>
                <w:rFonts w:hint="eastAsia" w:eastAsia="Times New Roman"/>
                <w:strike/>
                <w:dstrike w:val="0"/>
                <w:sz w:val="20"/>
                <w:szCs w:val="20"/>
                <w:lang w:val="en-US"/>
              </w:rPr>
              <w:t xml:space="preserve">the </w:t>
            </w:r>
            <w:r>
              <w:rPr>
                <w:rFonts w:hint="eastAsia" w:eastAsia="宋体"/>
                <w:color w:val="FF0000"/>
                <w:sz w:val="20"/>
                <w:szCs w:val="20"/>
                <w:lang w:val="en-US" w:eastAsia="zh-CN"/>
              </w:rPr>
              <w:t>any</w:t>
            </w:r>
            <w:r>
              <w:rPr>
                <w:rFonts w:hint="eastAsia" w:eastAsia="宋体"/>
                <w:sz w:val="20"/>
                <w:szCs w:val="20"/>
                <w:lang w:val="en-US" w:eastAsia="zh-CN"/>
              </w:rPr>
              <w:t xml:space="preserve"> </w:t>
            </w:r>
            <w:r>
              <w:rPr>
                <w:rFonts w:hint="eastAsia" w:eastAsia="Times New Roman"/>
                <w:sz w:val="20"/>
                <w:szCs w:val="20"/>
                <w:lang w:val="en-US"/>
              </w:rPr>
              <w:t xml:space="preserve">channel access priority class </w:t>
            </w:r>
            <m:oMath>
              <m:r>
                <w:rPr>
                  <w:rFonts w:hint="eastAsia" w:ascii="Cambria Math" w:hAnsi="Cambria Math"/>
                  <w:strike/>
                  <w:dstrike w:val="0"/>
                </w:rPr>
                <m:t>p</m:t>
              </m:r>
              <m:r>
                <w:rPr>
                  <w:rFonts w:hint="eastAsia" w:ascii="Cambria Math" w:hAnsi="Cambria Math"/>
                  <w:strike/>
                  <w:dstrike w:val="0"/>
                  <w:lang w:val="en-US"/>
                </w:rPr>
                <m:t>=1</m:t>
              </m:r>
            </m:oMath>
            <w:r>
              <w:rPr>
                <w:rFonts w:hint="eastAsia" w:eastAsia="Times New Roman"/>
                <w:strike/>
                <w:dstrike w:val="0"/>
                <w:sz w:val="20"/>
                <w:szCs w:val="20"/>
                <w:lang w:val="en-US"/>
              </w:rPr>
              <w:t xml:space="preserve"> </w:t>
            </w:r>
            <w:r>
              <w:rPr>
                <w:rFonts w:hint="eastAsia" w:eastAsia="Times New Roman"/>
                <w:sz w:val="20"/>
                <w:szCs w:val="20"/>
                <w:lang w:val="en-US"/>
              </w:rPr>
              <w:t>in Table 4.5-1.</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default"/>
          <w:b/>
          <w:i/>
          <w:iCs w:val="0"/>
          <w:strike w:val="0"/>
          <w:dstrike w:val="0"/>
          <w:szCs w:val="20"/>
          <w:lang w:val="en-US" w:eastAsia="zh-CN"/>
        </w:rPr>
      </w:pP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COT sharing</w:t>
      </w:r>
    </w:p>
    <w:p>
      <w:pPr>
        <w:rPr>
          <w:rFonts w:hint="eastAsia"/>
          <w:lang w:val="en-US" w:eastAsia="zh-CN"/>
        </w:rPr>
      </w:pPr>
      <w:r>
        <w:rPr>
          <w:rFonts w:hint="eastAsia"/>
          <w:lang w:val="en-US" w:eastAsia="zh-CN"/>
        </w:rPr>
        <w:t>Regarding PSFCH transmission, when a UE needs to transmit multiple SL HARQ feedback in a PSFCH occasion, the SL HARQ feedback may be for different PSSCH transmissions from different UEs. In this case, some SL HARQ feedback may be within the same COT as the PSSCH transmitting UE, while some may be outside the COT. Therefore PSFCH transmitting UEs may need to perform different types of LBTs that have different sense lengths and may result in using different starting positions of CPEs to access the channel. In this sense, it is not fair for the PSFCH transmitting UE to self-block its own transmission. Therefore, a better approach is that when a responding UE is transmitting at least one PSFCH intended for the COT initiating UE, the responding UE is able to use the COT to send SL HARQ feedback to other UEs in the same PSFCH occasion.</w:t>
      </w:r>
    </w:p>
    <w:p>
      <w:pPr>
        <w:rPr>
          <w:rFonts w:hint="default"/>
          <w:lang w:val="en-US" w:eastAsia="zh-CN"/>
        </w:rPr>
      </w:pPr>
      <w:r>
        <w:rPr>
          <w:rFonts w:hint="eastAsia"/>
          <w:lang w:val="en-US" w:eastAsia="zh-CN"/>
        </w:rPr>
        <w:t xml:space="preserve">In last meeting the following proposal was discussed but no consensus was achieved: </w:t>
      </w:r>
      <w:r>
        <w:rPr>
          <w:rFonts w:hint="eastAsia"/>
          <w:highlight w:val="none"/>
          <w:lang w:val="en-US" w:eastAsia="zh-CN"/>
        </w:rPr>
        <w:t>[5]</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1" w:hRule="atLeast"/>
        </w:trPr>
        <w:tc>
          <w:tcPr>
            <w:tcW w:w="9533" w:type="dxa"/>
          </w:tcPr>
          <w:p>
            <w:pPr>
              <w:keepNext w:val="0"/>
              <w:keepLines w:val="0"/>
              <w:widowControl w:val="0"/>
              <w:suppressLineNumbers w:val="0"/>
              <w:autoSpaceDE w:val="0"/>
              <w:autoSpaceDN w:val="0"/>
              <w:adjustRightInd/>
              <w:snapToGrid/>
              <w:spacing w:before="120" w:beforeAutospacing="0" w:after="0" w:afterAutospacing="0" w:line="259" w:lineRule="auto"/>
              <w:ind w:left="0" w:right="0"/>
              <w:rPr>
                <w:rFonts w:hint="default" w:ascii="Times New Roman" w:hAnsi="Times New Roman" w:eastAsia="Batang" w:cs="Times New Roman"/>
                <w:sz w:val="22"/>
                <w:szCs w:val="24"/>
                <w:lang w:val="en-GB"/>
              </w:rPr>
            </w:pPr>
            <w:r>
              <w:rPr>
                <w:rFonts w:hint="default" w:ascii="Times New Roman" w:hAnsi="Times New Roman" w:eastAsia="Batang" w:cs="Times New Roman"/>
                <w:b/>
                <w:bCs/>
                <w:sz w:val="22"/>
                <w:szCs w:val="24"/>
                <w:highlight w:val="yellow"/>
                <w:lang w:val="en-GB"/>
              </w:rPr>
              <w:t>Proposal 5-2 (III):</w:t>
            </w:r>
            <w:r>
              <w:rPr>
                <w:rFonts w:hint="default" w:ascii="Times New Roman" w:hAnsi="Times New Roman" w:eastAsia="Batang" w:cs="Times New Roman"/>
                <w:b/>
                <w:bCs/>
                <w:sz w:val="22"/>
                <w:szCs w:val="24"/>
                <w:lang w:val="en-GB"/>
              </w:rPr>
              <w:t xml:space="preserve"> </w:t>
            </w:r>
          </w:p>
          <w:p>
            <w:pPr>
              <w:keepNext w:val="0"/>
              <w:keepLines w:val="0"/>
              <w:widowControl w:val="0"/>
              <w:numPr>
                <w:ilvl w:val="0"/>
                <w:numId w:val="13"/>
              </w:numPr>
              <w:suppressLineNumbers w:val="0"/>
              <w:autoSpaceDE w:val="0"/>
              <w:autoSpaceDN w:val="0"/>
              <w:spacing w:before="0" w:beforeAutospacing="0" w:after="0" w:afterAutospacing="0" w:line="259" w:lineRule="auto"/>
              <w:ind w:left="720" w:leftChars="0" w:right="0" w:hanging="360"/>
              <w:jc w:val="both"/>
              <w:rPr>
                <w:rFonts w:hint="default" w:ascii="Times New Roman" w:hAnsi="Times New Roman" w:eastAsia="Batang" w:cs="Times New Roman"/>
                <w:sz w:val="22"/>
                <w:szCs w:val="24"/>
                <w:lang w:val="en-US" w:eastAsia="en-US" w:bidi="ar-SA"/>
              </w:rPr>
            </w:pPr>
            <w:r>
              <w:rPr>
                <w:rFonts w:hint="default" w:ascii="Times New Roman" w:hAnsi="Times New Roman" w:eastAsia="Batang" w:cs="Times New Roman"/>
                <w:color w:val="FF0000"/>
                <w:sz w:val="22"/>
                <w:szCs w:val="24"/>
                <w:lang w:val="en-US" w:eastAsia="en-US" w:bidi="ar-SA"/>
              </w:rPr>
              <w:t xml:space="preserve">When receiving a grant/indication to use a PSFCH occasion in a shared COT, </w:t>
            </w:r>
            <w:r>
              <w:rPr>
                <w:rFonts w:hint="default" w:ascii="Times New Roman" w:hAnsi="Times New Roman" w:eastAsia="Batang" w:cs="Times New Roman"/>
                <w:sz w:val="22"/>
                <w:szCs w:val="24"/>
                <w:lang w:val="en-US" w:eastAsia="en-US" w:bidi="ar-SA"/>
              </w:rPr>
              <w:t>a responding UE’s PSFCH transmission(s) within RB set(s) corresponding to a shared COT can be transmitted to UEs other than the COT initiator without requiring that at least one of PSFCH transmissions is intended for the COT initiator.</w:t>
            </w:r>
          </w:p>
          <w:p>
            <w:pPr>
              <w:keepNext w:val="0"/>
              <w:keepLines w:val="0"/>
              <w:widowControl w:val="0"/>
              <w:numPr>
                <w:ilvl w:val="1"/>
                <w:numId w:val="13"/>
              </w:numPr>
              <w:suppressLineNumbers w:val="0"/>
              <w:autoSpaceDE w:val="0"/>
              <w:autoSpaceDN w:val="0"/>
              <w:spacing w:before="0" w:beforeAutospacing="0" w:after="0" w:afterAutospacing="0" w:line="252" w:lineRule="auto"/>
              <w:ind w:left="1440" w:leftChars="0" w:right="0" w:hanging="360"/>
              <w:jc w:val="both"/>
              <w:rPr>
                <w:rFonts w:hint="eastAsia"/>
                <w:vertAlign w:val="baseline"/>
                <w:lang w:val="en-US" w:eastAsia="zh-CN"/>
              </w:rPr>
            </w:pPr>
            <w:r>
              <w:rPr>
                <w:rFonts w:hint="default" w:ascii="Times New Roman" w:hAnsi="Times New Roman" w:eastAsia="Batang" w:cs="Times New Roman"/>
                <w:color w:val="FF0000"/>
                <w:sz w:val="22"/>
                <w:szCs w:val="22"/>
                <w:lang w:val="en-GB" w:eastAsia="en-US" w:bidi="ar-SA"/>
              </w:rPr>
              <w:t>FFS: details on the grant/indication to use a PSFCH occasion in a shared COT</w:t>
            </w:r>
          </w:p>
        </w:tc>
      </w:tr>
    </w:tbl>
    <w:p>
      <w:pPr>
        <w:rPr>
          <w:rFonts w:hint="eastAsia"/>
          <w:lang w:val="en-US" w:eastAsia="zh-CN"/>
        </w:rPr>
      </w:pPr>
      <w:r>
        <w:rPr>
          <w:rFonts w:hint="eastAsia"/>
          <w:lang w:val="en-US" w:eastAsia="zh-CN"/>
        </w:rPr>
        <w:t xml:space="preserve"> </w:t>
      </w:r>
    </w:p>
    <w:p>
      <w:pPr>
        <w:rPr>
          <w:rFonts w:hint="default"/>
          <w:lang w:val="en-US" w:eastAsia="zh-CN"/>
        </w:rPr>
      </w:pPr>
      <w:r>
        <w:rPr>
          <w:rFonts w:hint="eastAsia"/>
          <w:lang w:val="en-US" w:eastAsia="zh-CN"/>
        </w:rPr>
        <w:t>Since more than one PSFCH occasion can be configured, and these PSFCH occasions can be dynamically indicated as available or unavailable by the UE initiating the COT during the COT. For example, if there is a slot with a PSFCH occasion on the COT and the COT initiator neither expects to receive a PSFCH nor has a PSFCH to transmit, then it can indicate the PSFCH occasion as unavailable. In other hand, if the COT initiator UE indicate a PSFCH occasion as available, then the responding UE can transmit the PSFCH to UEs other than the COT initiator without requiring that at least one of PSFCH transmissions is intended for the COT initiator. Because more transmission ensures continuity of transmission on the COT.</w:t>
      </w:r>
    </w:p>
    <w:p>
      <w:pPr>
        <w:rPr>
          <w:rFonts w:hint="eastAsia"/>
          <w:b/>
          <w:bCs/>
          <w:i/>
          <w:iCs/>
          <w:lang w:val="en-US" w:eastAsia="zh-CN"/>
        </w:rPr>
      </w:pPr>
      <w:r>
        <w:rPr>
          <w:rFonts w:hint="eastAsia"/>
          <w:b/>
          <w:bCs/>
          <w:i/>
          <w:iCs/>
          <w:lang w:val="en-US" w:eastAsia="zh-CN"/>
        </w:rPr>
        <w:t>Proposal 4: 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Multi-channel access</w:t>
      </w:r>
    </w:p>
    <w:p>
      <w:pPr>
        <w:rPr>
          <w:rFonts w:hint="eastAsia"/>
          <w:lang w:val="en-US" w:eastAsia="zh-CN"/>
        </w:rPr>
      </w:pPr>
      <w:r>
        <w:rPr>
          <w:rFonts w:hint="eastAsia"/>
          <w:b w:val="0"/>
          <w:bCs/>
          <w:i w:val="0"/>
          <w:iCs/>
          <w:szCs w:val="20"/>
          <w:lang w:val="en-US" w:eastAsia="zh-CN"/>
        </w:rPr>
        <w:t>In RAN1#111 meeting, the following agreement was made [</w:t>
      </w:r>
      <w:r>
        <w:rPr>
          <w:rFonts w:hint="eastAsia"/>
          <w:b w:val="0"/>
          <w:bCs/>
          <w:i w:val="0"/>
          <w:iCs/>
          <w:szCs w:val="20"/>
          <w:highlight w:val="none"/>
          <w:lang w:val="en-US" w:eastAsia="zh-CN"/>
        </w:rPr>
        <w:t>3</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spacing w:before="0" w:beforeAutospacing="0" w:afterAutospacing="0"/>
              <w:ind w:left="0" w:right="0"/>
              <w:jc w:val="both"/>
              <w:rPr>
                <w:rFonts w:hint="default" w:ascii="Times New Roman" w:hAnsi="Times New Roman"/>
                <w:szCs w:val="20"/>
                <w:highlight w:val="green"/>
                <w:lang w:val="en-US" w:eastAsia="zh-CN"/>
              </w:rPr>
            </w:pPr>
            <w:r>
              <w:rPr>
                <w:rFonts w:hint="default" w:ascii="Times New Roman" w:hAnsi="Times New Roman"/>
                <w:szCs w:val="20"/>
                <w:highlight w:val="green"/>
                <w:lang w:val="en-US" w:eastAsia="zh-CN"/>
              </w:rPr>
              <w:t>Agreement</w:t>
            </w:r>
          </w:p>
          <w:p>
            <w:pPr>
              <w:keepNext w:val="0"/>
              <w:keepLines w:val="0"/>
              <w:widowControl w:val="0"/>
              <w:numPr>
                <w:ilvl w:val="0"/>
                <w:numId w:val="14"/>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pPr>
              <w:keepNext w:val="0"/>
              <w:keepLines w:val="0"/>
              <w:widowControl w:val="0"/>
              <w:numPr>
                <w:ilvl w:val="0"/>
                <w:numId w:val="14"/>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the case for S-SSB if agreed to transmit S-SSB (or S-SSB can be (pre-)configured) in more than one RB set</w:t>
            </w:r>
          </w:p>
          <w:p>
            <w:pPr>
              <w:keepNext w:val="0"/>
              <w:keepLines w:val="0"/>
              <w:widowControl w:val="0"/>
              <w:numPr>
                <w:ilvl w:val="0"/>
                <w:numId w:val="14"/>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whether type A or type B or both will be supported for this case for PSFCH</w:t>
            </w:r>
          </w:p>
          <w:p>
            <w:pPr>
              <w:keepNext w:val="0"/>
              <w:keepLines w:val="0"/>
              <w:widowControl w:val="0"/>
              <w:numPr>
                <w:ilvl w:val="0"/>
                <w:numId w:val="14"/>
              </w:numPr>
              <w:suppressLineNumbers w:val="0"/>
              <w:tabs>
                <w:tab w:val="left" w:pos="720"/>
              </w:tabs>
              <w:spacing w:before="0" w:beforeAutospacing="0" w:afterAutospacing="0"/>
              <w:ind w:right="0"/>
              <w:jc w:val="both"/>
              <w:rPr>
                <w:rFonts w:hint="default"/>
                <w:vertAlign w:val="baseline"/>
                <w:lang w:val="en-US" w:eastAsia="zh-CN"/>
              </w:rPr>
            </w:pPr>
            <w:r>
              <w:rPr>
                <w:rFonts w:hint="default" w:ascii="Times New Roman" w:hAnsi="Times New Roman" w:eastAsia="Malgun Gothic"/>
                <w:color w:val="000000"/>
                <w:szCs w:val="20"/>
                <w:lang w:val="en-US" w:eastAsia="zh-CN"/>
              </w:rPr>
              <w:t>FFS: whether multiple PSFCH transmissions on multiple channels after performing the multi-channel access procedure is limited to contiguous RB sets</w:t>
            </w:r>
          </w:p>
        </w:tc>
      </w:tr>
    </w:tbl>
    <w:p>
      <w:pPr>
        <w:rPr>
          <w:rFonts w:hint="eastAsia"/>
          <w:lang w:val="en-US" w:eastAsia="zh-CN"/>
        </w:rPr>
      </w:pPr>
    </w:p>
    <w:p>
      <w:pPr>
        <w:rPr>
          <w:rFonts w:hint="eastAsia"/>
          <w:lang w:val="en-US" w:eastAsia="zh-CN"/>
        </w:rPr>
      </w:pPr>
      <w:r>
        <w:rPr>
          <w:rFonts w:hint="eastAsia"/>
          <w:lang w:val="en-US" w:eastAsia="zh-CN"/>
        </w:rPr>
        <w:t xml:space="preserve">In NR-U, for the DL multi-channel access procedure, the gNB is required to perform LBT independently on each shared channel or RB set that the gNB intends to transmit. gNB transmits on the channel on which the channel access procedure succeeds. On the other hand, for the UL multi-channel access procedure, the UE needs to perform LBT on all shared channels or RB sets that it intends to transmit. The UE can transmit only if the channel access procedure is successful for all channels. Otherwise, the UE does not transmit on any channel.  </w:t>
      </w:r>
    </w:p>
    <w:p>
      <w:pPr>
        <w:rPr>
          <w:rFonts w:eastAsia="宋体"/>
          <w:lang w:eastAsia="zh-CN"/>
        </w:rPr>
      </w:pPr>
      <w:r>
        <w:rPr>
          <w:rFonts w:eastAsia="宋体"/>
          <w:lang w:eastAsia="zh-CN"/>
        </w:rPr>
        <w:t>DL multi</w:t>
      </w:r>
      <w:r>
        <w:rPr>
          <w:rFonts w:hint="eastAsia" w:eastAsia="宋体"/>
          <w:lang w:val="en-US" w:eastAsia="zh-CN"/>
        </w:rPr>
        <w:t>-</w:t>
      </w:r>
      <w:r>
        <w:rPr>
          <w:rFonts w:eastAsia="宋体"/>
          <w:lang w:eastAsia="zh-CN"/>
        </w:rPr>
        <w:t xml:space="preserve">channel access </w:t>
      </w:r>
      <w:r>
        <w:rPr>
          <w:rFonts w:hint="eastAsia" w:eastAsia="宋体"/>
          <w:lang w:val="en-US" w:eastAsia="zh-CN"/>
        </w:rPr>
        <w:t xml:space="preserve">procedure </w:t>
      </w:r>
      <w:r>
        <w:rPr>
          <w:rFonts w:eastAsia="宋体"/>
          <w:lang w:eastAsia="zh-CN"/>
        </w:rPr>
        <w:t>can also be applied</w:t>
      </w:r>
      <w:r>
        <w:rPr>
          <w:rFonts w:hint="eastAsia" w:eastAsia="宋体"/>
          <w:lang w:val="en-US" w:eastAsia="zh-CN"/>
        </w:rPr>
        <w:t xml:space="preserve"> i</w:t>
      </w:r>
      <w:r>
        <w:rPr>
          <w:rFonts w:eastAsia="宋体"/>
          <w:lang w:eastAsia="zh-CN"/>
        </w:rPr>
        <w:t xml:space="preserve">f S-SSB can be configured within </w:t>
      </w:r>
      <w:r>
        <w:rPr>
          <w:rFonts w:hint="eastAsia" w:eastAsia="宋体"/>
          <w:lang w:val="en-US" w:eastAsia="zh-CN"/>
        </w:rPr>
        <w:t>each</w:t>
      </w:r>
      <w:r>
        <w:rPr>
          <w:rFonts w:eastAsia="宋体"/>
          <w:lang w:eastAsia="zh-CN"/>
        </w:rPr>
        <w:t xml:space="preserve"> RB set and </w:t>
      </w:r>
      <w:r>
        <w:rPr>
          <w:rFonts w:hint="eastAsia" w:eastAsia="宋体"/>
          <w:lang w:val="en-US" w:eastAsia="zh-CN"/>
        </w:rPr>
        <w:t>multiple</w:t>
      </w:r>
      <w:r>
        <w:rPr>
          <w:rFonts w:eastAsia="宋体"/>
          <w:lang w:eastAsia="zh-CN"/>
        </w:rPr>
        <w:t xml:space="preserve"> S-SSB</w:t>
      </w:r>
      <w:r>
        <w:rPr>
          <w:rFonts w:hint="eastAsia" w:eastAsia="宋体"/>
          <w:lang w:val="en-US" w:eastAsia="zh-CN"/>
        </w:rPr>
        <w:t>s are supported within</w:t>
      </w:r>
      <w:r>
        <w:rPr>
          <w:rFonts w:eastAsia="宋体"/>
          <w:lang w:eastAsia="zh-CN"/>
        </w:rPr>
        <w:t xml:space="preserve"> multiple RB sets. </w:t>
      </w:r>
    </w:p>
    <w:p>
      <w:pPr>
        <w:rPr>
          <w:rFonts w:hint="default" w:eastAsia="宋体"/>
          <w:b/>
          <w:bCs/>
          <w:i/>
          <w:iCs/>
          <w:lang w:val="en-US" w:eastAsia="zh-CN"/>
        </w:rPr>
      </w:pPr>
      <w:r>
        <w:rPr>
          <w:rFonts w:hint="eastAsia"/>
          <w:b/>
          <w:bCs/>
          <w:i/>
          <w:iCs/>
          <w:lang w:val="en-US" w:eastAsia="zh-CN"/>
        </w:rPr>
        <w:t xml:space="preserve">Proposal </w:t>
      </w:r>
      <w:r>
        <w:rPr>
          <w:rFonts w:hint="eastAsia"/>
          <w:b/>
          <w:bCs/>
          <w:i/>
          <w:iCs/>
          <w:highlight w:val="none"/>
          <w:lang w:val="en-US" w:eastAsia="zh-CN"/>
        </w:rPr>
        <w:t>5</w:t>
      </w:r>
      <w:r>
        <w:rPr>
          <w:rFonts w:hint="eastAsia"/>
          <w:b/>
          <w:bCs/>
          <w:i/>
          <w:iCs/>
          <w:lang w:val="en-US" w:eastAsia="zh-CN"/>
        </w:rPr>
        <w:t>: The NR-U DL multi-channel access procedure should be used as baseline for the transmission of S-SSB for multiple SSB transmissions on multiple channels.</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15" w:name="OLE_LINK39"/>
      <w:bookmarkStart w:id="16" w:name="OLE_LINK6"/>
      <w:bookmarkStart w:id="17" w:name="OLE_LINK5"/>
      <w:bookmarkStart w:id="18" w:name="OLE_LINK40"/>
      <w:bookmarkStart w:id="19" w:name="OLE_LINK3"/>
      <w:bookmarkStart w:id="20" w:name="OLE_LINK4"/>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channel access procedures, COT sharing and multi-channel access.</w:t>
      </w:r>
      <w:r>
        <w:t xml:space="preserve"> Based on the discussion in section 2, we provide the following proposals</w:t>
      </w:r>
      <w:r>
        <w:rPr>
          <w:rFonts w:hint="eastAsia"/>
          <w:lang w:val="en-US" w:eastAsia="zh-CN"/>
        </w:rPr>
        <w:t>:</w:t>
      </w:r>
    </w:p>
    <w:p>
      <w:pPr>
        <w:rPr>
          <w:rFonts w:hint="eastAsia"/>
          <w:b/>
          <w:bCs w:val="0"/>
          <w:i/>
          <w:iCs w:val="0"/>
          <w:szCs w:val="20"/>
          <w:lang w:val="en-US" w:eastAsia="zh-CN"/>
        </w:rPr>
      </w:pPr>
      <w:r>
        <w:rPr>
          <w:rFonts w:hint="eastAsia"/>
          <w:b/>
          <w:bCs w:val="0"/>
          <w:i/>
          <w:iCs w:val="0"/>
          <w:szCs w:val="20"/>
          <w:lang w:val="en-US" w:eastAsia="zh-CN"/>
        </w:rPr>
        <w:t>Proposal 1: Type 2A channel access procedure is used for PSFCH transmission.</w:t>
      </w:r>
    </w:p>
    <w:p>
      <w:pPr>
        <w:rPr>
          <w:rFonts w:hint="default"/>
          <w:b/>
          <w:bCs/>
          <w:i/>
          <w:iCs/>
          <w:lang w:val="en-US" w:eastAsia="zh-CN"/>
        </w:rPr>
      </w:pPr>
      <w:r>
        <w:rPr>
          <w:rFonts w:hint="eastAsia"/>
          <w:b/>
          <w:bCs/>
          <w:i/>
          <w:iCs/>
          <w:lang w:val="en-US" w:eastAsia="zh-CN"/>
        </w:rPr>
        <w:t>Proposal 2: Adopt the following TP#1</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4.5.</w:t>
            </w:r>
            <w:r>
              <w:rPr>
                <w:rFonts w:ascii="Arial" w:hAnsi="Arial" w:eastAsia="Times New Roman" w:cs="Times New Roman"/>
                <w:sz w:val="28"/>
                <w:lang w:val="en-US" w:eastAsia="en-US" w:bidi="ar-SA"/>
              </w:rPr>
              <w:t>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Type 2 SL channel access procedure</w:t>
            </w:r>
          </w:p>
          <w:p>
            <w:pPr>
              <w:keepNext w:val="0"/>
              <w:keepLines w:val="0"/>
              <w:widowControl w:val="0"/>
              <w:suppressLineNumbers w:val="0"/>
              <w:autoSpaceDE/>
              <w:autoSpaceDN/>
              <w:adjustRightInd/>
              <w:snapToGrid/>
              <w:spacing w:before="0" w:beforeAutospacing="0" w:after="180" w:afterAutospacing="0"/>
              <w:ind w:left="0" w:right="0"/>
              <w:jc w:val="center"/>
              <w:rPr>
                <w:rFonts w:hint="eastAsia"/>
                <w:sz w:val="20"/>
                <w:szCs w:val="20"/>
              </w:rPr>
            </w:pPr>
            <w:r>
              <w:rPr>
                <w:rFonts w:hint="eastAsia"/>
                <w:sz w:val="20"/>
                <w:szCs w:val="20"/>
              </w:rPr>
              <w:t>……</w:t>
            </w:r>
          </w:p>
          <w:p>
            <w:pPr>
              <w:autoSpaceDE/>
              <w:autoSpaceDN/>
              <w:adjustRightInd/>
              <w:snapToGrid/>
              <w:spacing w:after="180"/>
              <w:jc w:val="left"/>
              <w:rPr>
                <w:rFonts w:eastAsia="Times New Roman"/>
                <w:sz w:val="20"/>
                <w:szCs w:val="20"/>
                <w:lang w:val="en-GB"/>
              </w:rPr>
            </w:pPr>
            <w:r>
              <w:rPr>
                <w:rFonts w:eastAsia="Times New Roman"/>
                <w:sz w:val="20"/>
                <w:szCs w:val="20"/>
                <w:lang w:val="de-DE"/>
              </w:rPr>
              <w:t>Type 2A SL channel access procedure as described in clause 4.5.2.1 is applicable to the following transmission(s) performed by a UE:</w:t>
            </w:r>
          </w:p>
          <w:p>
            <w:pPr>
              <w:spacing w:after="180"/>
              <w:ind w:left="568" w:hanging="284"/>
              <w:rPr>
                <w:rFonts w:ascii="Times New Roman" w:hAnsi="Times New Roman" w:eastAsia="Calibri" w:cs="Times New Roman"/>
                <w:lang w:val="en-US" w:eastAsia="en-US" w:bidi="ar-SA"/>
              </w:rPr>
            </w:pPr>
            <w:r>
              <w:rPr>
                <w:rFonts w:ascii="Times New Roman" w:hAnsi="Times New Roman" w:eastAsia="Calibri" w:cs="Times New Roman"/>
                <w:lang w:val="en-US" w:eastAsia="zh-CN" w:bidi="ar-SA"/>
              </w:rPr>
              <w:t>-</w:t>
            </w:r>
            <w:r>
              <w:rPr>
                <w:rFonts w:ascii="Times New Roman" w:hAnsi="Times New Roman" w:eastAsia="Calibri" w:cs="Times New Roman"/>
                <w:lang w:val="en-US" w:eastAsia="zh-CN" w:bidi="ar-SA"/>
              </w:rPr>
              <w:tab/>
            </w:r>
            <w:r>
              <w:rPr>
                <w:rFonts w:ascii="Times New Roman" w:hAnsi="Times New Roman" w:eastAsia="Calibri" w:cs="Times New Roman"/>
                <w:lang w:val="en-US" w:eastAsia="zh-CN" w:bidi="ar-SA"/>
              </w:rPr>
              <w:t xml:space="preserve">If a UE intends to transmit a SL transmission at least  </w:t>
            </w:r>
            <m:oMath>
              <m:r>
                <w:rPr>
                  <w:rFonts w:ascii="Cambria Math" w:hAnsi="Cambria Math" w:eastAsia="Calibri"/>
                  <w:lang w:val="en-US" w:eastAsia="zh-CN"/>
                </w:rPr>
                <m:t>25</m:t>
              </m:r>
              <m:r>
                <w:rPr>
                  <w:rFonts w:ascii="Cambria Math" w:hAnsi="Cambria Math" w:eastAsia="Calibri"/>
                  <w:lang w:eastAsia="zh-CN"/>
                </w:rPr>
                <m:t>μs</m:t>
              </m:r>
            </m:oMath>
            <w:r>
              <w:rPr>
                <w:rFonts w:ascii="Times New Roman" w:hAnsi="Times New Roman" w:eastAsia="Calibri" w:cs="Times New Roman"/>
                <w:lang w:val="en-US" w:eastAsia="zh-CN" w:bidi="ar-SA"/>
              </w:rPr>
              <w:t xml:space="preserve">  after a SL transmission by another UE in a shared channel occupancy as described in clause 4.5.3</w:t>
            </w:r>
            <w:r>
              <w:rPr>
                <w:rFonts w:ascii="Times New Roman" w:hAnsi="Times New Roman" w:eastAsia="Calibri" w:cs="Times New Roman"/>
                <w:lang w:val="en-GB" w:eastAsia="zh-CN" w:bidi="ar-SA"/>
              </w:rPr>
              <w:t xml:space="preserve">, </w:t>
            </w:r>
            <w:r>
              <w:rPr>
                <w:rFonts w:ascii="Times New Roman" w:hAnsi="Times New Roman" w:eastAsia="Calibri" w:cs="Times New Roman"/>
                <w:lang w:val="en-US" w:eastAsia="zh-CN" w:bidi="ar-SA"/>
              </w:rPr>
              <w:t>the UE uses Type 2A SL channel access procedures for the SL transmission.</w:t>
            </w:r>
          </w:p>
          <w:p>
            <w:pPr>
              <w:spacing w:after="180"/>
              <w:ind w:left="568" w:hanging="284"/>
              <w:rPr>
                <w:rFonts w:ascii="Times New Roman" w:hAnsi="Times New Roman" w:eastAsia="Calibri" w:cs="Times New Roman"/>
                <w:lang w:val="en-US" w:eastAsia="en-US" w:bidi="ar-SA"/>
              </w:rPr>
            </w:pPr>
            <w:r>
              <w:rPr>
                <w:rFonts w:ascii="Times New Roman" w:hAnsi="Times New Roman" w:eastAsia="Calibri" w:cs="Times New Roman"/>
                <w:lang w:val="en-US" w:eastAsia="en-US" w:bidi="ar-SA"/>
              </w:rPr>
              <w:t>-</w:t>
            </w:r>
            <w:r>
              <w:rPr>
                <w:rFonts w:ascii="Times New Roman" w:hAnsi="Times New Roman" w:eastAsia="Calibri" w:cs="Times New Roman"/>
                <w:lang w:val="en-US" w:eastAsia="en-US" w:bidi="ar-SA"/>
              </w:rPr>
              <w:tab/>
            </w:r>
            <w:r>
              <w:rPr>
                <w:rFonts w:ascii="Times New Roman" w:hAnsi="Times New Roman" w:eastAsia="Calibri" w:cs="Times New Roman"/>
                <w:lang w:val="en-US" w:eastAsia="en-US" w:bidi="ar-SA"/>
              </w:rPr>
              <w:t xml:space="preserve">If a UE intends to transmit only S-SSB </w:t>
            </w:r>
            <w:r>
              <w:rPr>
                <w:rFonts w:hint="eastAsia" w:ascii="Times New Roman" w:hAnsi="Times New Roman" w:eastAsia="宋体" w:cs="Times New Roman"/>
                <w:color w:val="FF0000"/>
                <w:lang w:val="en-US" w:eastAsia="zh-CN" w:bidi="ar-SA"/>
              </w:rPr>
              <w:t>or only PSFCH</w:t>
            </w:r>
            <w:r>
              <w:rPr>
                <w:rFonts w:hint="eastAsia" w:ascii="Times New Roman" w:hAnsi="Times New Roman" w:eastAsia="宋体" w:cs="Times New Roman"/>
                <w:lang w:val="en-US" w:eastAsia="zh-CN" w:bidi="ar-SA"/>
              </w:rPr>
              <w:t xml:space="preserve"> </w:t>
            </w:r>
            <w:r>
              <w:rPr>
                <w:rFonts w:ascii="Times New Roman" w:hAnsi="Times New Roman" w:eastAsia="Calibri" w:cs="Times New Roman"/>
                <w:lang w:val="en-US" w:eastAsia="en-US" w:bidi="ar-SA"/>
              </w:rPr>
              <w:t>in transmission(s) where the time duration of S-SSB</w:t>
            </w:r>
            <w:r>
              <w:rPr>
                <w:rFonts w:hint="eastAsia" w:ascii="Times New Roman" w:hAnsi="Times New Roman" w:eastAsia="宋体" w:cs="Times New Roman"/>
                <w:lang w:val="en-US" w:eastAsia="zh-CN" w:bidi="ar-SA"/>
              </w:rPr>
              <w:t xml:space="preserve"> </w:t>
            </w:r>
            <w:r>
              <w:rPr>
                <w:rFonts w:hint="eastAsia" w:ascii="Times New Roman" w:hAnsi="Times New Roman" w:eastAsia="宋体" w:cs="Times New Roman"/>
                <w:color w:val="FF0000"/>
                <w:lang w:val="en-US" w:eastAsia="zh-CN" w:bidi="ar-SA"/>
              </w:rPr>
              <w:t>or PSFCH</w:t>
            </w:r>
            <w:r>
              <w:rPr>
                <w:rFonts w:ascii="Times New Roman" w:hAnsi="Times New Roman" w:eastAsia="Calibri" w:cs="Times New Roman"/>
                <w:lang w:val="en-US" w:eastAsia="en-US" w:bidi="ar-SA"/>
              </w:rPr>
              <w:t xml:space="preserve"> transmission(s) is at most </w:t>
            </w:r>
            <m:oMath>
              <m:r>
                <w:rPr>
                  <w:rFonts w:ascii="Cambria Math" w:hAnsi="Cambria Math" w:eastAsia="Calibri"/>
                  <w:lang w:val="en-US"/>
                </w:rPr>
                <m:t>1ms</m:t>
              </m:r>
            </m:oMath>
            <w:r>
              <w:rPr>
                <w:rFonts w:ascii="Times New Roman" w:hAnsi="Times New Roman" w:eastAsia="Calibri" w:cs="Times New Roman"/>
                <w:lang w:val="en-US" w:eastAsia="en-US" w:bidi="ar-SA"/>
              </w:rPr>
              <w:t xml:space="preserve"> with a </w:t>
            </w:r>
            <w:r>
              <w:rPr>
                <w:rFonts w:ascii="Times New Roman" w:hAnsi="Times New Roman" w:eastAsia="Calibri" w:cs="Times New Roman"/>
                <w:lang w:val="en-GB" w:eastAsia="en-US" w:bidi="ar-SA"/>
              </w:rPr>
              <w:t xml:space="preserve">duty cycle of at most </w:t>
            </w:r>
            <m:oMath>
              <m:f>
                <m:fPr>
                  <m:type m:val="lin"/>
                  <m:ctrlPr>
                    <w:rPr>
                      <w:rFonts w:ascii="Cambria Math" w:hAnsi="Cambria Math" w:eastAsia="Calibri"/>
                      <w:i/>
                    </w:rPr>
                  </m:ctrlPr>
                </m:fPr>
                <m:num>
                  <m:r>
                    <w:rPr>
                      <w:rFonts w:ascii="Cambria Math" w:hAnsi="Cambria Math" w:eastAsia="Calibri"/>
                      <w:lang w:val="en-US"/>
                    </w:rPr>
                    <m:t>1</m:t>
                  </m:r>
                  <m:ctrlPr>
                    <w:rPr>
                      <w:rFonts w:ascii="Cambria Math" w:hAnsi="Cambria Math" w:eastAsia="Calibri"/>
                      <w:i/>
                    </w:rPr>
                  </m:ctrlPr>
                </m:num>
                <m:den>
                  <m:r>
                    <w:rPr>
                      <w:rFonts w:ascii="Cambria Math" w:hAnsi="Cambria Math" w:eastAsia="Calibri"/>
                      <w:lang w:val="en-US"/>
                    </w:rPr>
                    <m:t>20</m:t>
                  </m:r>
                  <m:ctrlPr>
                    <w:rPr>
                      <w:rFonts w:ascii="Cambria Math" w:hAnsi="Cambria Math" w:eastAsia="Calibri"/>
                      <w:i/>
                    </w:rPr>
                  </m:ctrlPr>
                </m:den>
              </m:f>
            </m:oMath>
            <w:r>
              <w:rPr>
                <w:rFonts w:ascii="Times New Roman" w:hAnsi="Times New Roman" w:eastAsia="Calibri" w:cs="Times New Roman"/>
                <w:lang w:val="en-GB" w:eastAsia="en-US" w:bidi="ar-SA"/>
              </w:rPr>
              <w:t xml:space="preserve">, </w:t>
            </w:r>
            <w:r>
              <w:rPr>
                <w:rFonts w:ascii="Times New Roman" w:hAnsi="Times New Roman" w:eastAsia="Calibri" w:cs="Times New Roman"/>
                <w:lang w:val="en-US" w:eastAsia="en-US" w:bidi="ar-SA"/>
              </w:rPr>
              <w:t>the UE uses Type 2A SL channel access procedures for the SL transmission(s).</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eastAsia"/>
          <w:b/>
          <w:bCs w:val="0"/>
          <w:i/>
          <w:iCs w:val="0"/>
          <w:szCs w:val="20"/>
          <w:lang w:val="en-US" w:eastAsia="zh-CN"/>
        </w:rPr>
      </w:pPr>
    </w:p>
    <w:p>
      <w:pPr>
        <w:rPr>
          <w:rFonts w:hint="default"/>
          <w:b/>
          <w:bCs/>
          <w:i/>
          <w:iCs/>
          <w:lang w:val="en-US" w:eastAsia="zh-CN"/>
        </w:rPr>
      </w:pPr>
      <w:r>
        <w:rPr>
          <w:rFonts w:hint="eastAsia"/>
          <w:b/>
          <w:bCs/>
          <w:i/>
          <w:iCs/>
          <w:lang w:val="en-US" w:eastAsia="zh-CN"/>
        </w:rPr>
        <w:t>Proposal 3: Adopt the following TP#2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pacing w:before="120" w:beforeLines="50" w:beforeAutospacing="0" w:afterAutospacing="0"/>
              <w:ind w:left="0" w:right="0"/>
              <w:jc w:val="center"/>
              <w:rPr>
                <w:rFonts w:hint="default"/>
                <w:sz w:val="20"/>
                <w:szCs w:val="20"/>
                <w:lang w:val="en-US" w:eastAsia="zh-CN"/>
              </w:rPr>
            </w:pPr>
            <w:r>
              <w:rPr>
                <w:rFonts w:hint="eastAsia" w:eastAsia="等线"/>
                <w:kern w:val="2"/>
                <w:lang w:eastAsia="zh-CN"/>
              </w:rPr>
              <w:t>=====Start of Draft TP=====</w:t>
            </w:r>
          </w:p>
          <w:p>
            <w:pPr>
              <w:keepNext/>
              <w:keepLines/>
              <w:widowControl w:val="0"/>
              <w:suppressLineNumbers w:val="0"/>
              <w:pBdr>
                <w:top w:val="none" w:color="auto" w:sz="0" w:space="0"/>
              </w:pBdr>
              <w:spacing w:before="180" w:beforeAutospacing="0" w:after="180" w:afterAutospacing="0"/>
              <w:ind w:left="1134" w:right="0" w:hanging="1134"/>
              <w:outlineLvl w:val="1"/>
              <w:rPr>
                <w:rFonts w:hint="eastAsia" w:ascii="Arial" w:hAnsi="Arial" w:eastAsia="Times New Roman" w:cs="Times New Roman"/>
                <w:sz w:val="32"/>
                <w:lang w:val="en-GB" w:eastAsia="en-US" w:bidi="ar-SA"/>
              </w:rPr>
            </w:pPr>
            <w:r>
              <w:rPr>
                <w:rFonts w:hint="eastAsia" w:ascii="Arial" w:hAnsi="Arial" w:eastAsia="Times New Roman" w:cs="Times New Roman"/>
                <w:sz w:val="32"/>
                <w:lang w:val="en-GB" w:eastAsia="en-US" w:bidi="ar-SA"/>
              </w:rPr>
              <w:t>4.5</w:t>
            </w:r>
            <w:r>
              <w:rPr>
                <w:rFonts w:hint="eastAsia" w:ascii="Arial" w:hAnsi="Arial" w:eastAsia="Times New Roman" w:cs="Times New Roman"/>
                <w:sz w:val="32"/>
                <w:lang w:val="en-GB" w:eastAsia="en-US" w:bidi="ar-SA"/>
              </w:rPr>
              <w:tab/>
            </w:r>
            <w:r>
              <w:rPr>
                <w:rFonts w:hint="eastAsia" w:ascii="Arial" w:hAnsi="Arial" w:eastAsia="Times New Roman" w:cs="Times New Roman"/>
                <w:sz w:val="32"/>
                <w:lang w:val="en-GB" w:eastAsia="en-US" w:bidi="ar-SA"/>
              </w:rPr>
              <w:t>Sidelink Channel access procedures</w:t>
            </w:r>
          </w:p>
          <w:p>
            <w:pPr>
              <w:keepNext w:val="0"/>
              <w:keepLines w:val="0"/>
              <w:widowControl w:val="0"/>
              <w:suppressLineNumbers w:val="0"/>
              <w:autoSpaceDE/>
              <w:autoSpaceDN/>
              <w:adjustRightInd/>
              <w:snapToGrid/>
              <w:spacing w:before="0" w:beforeAutospacing="0" w:after="180" w:afterAutospacing="0"/>
              <w:ind w:left="0" w:right="0"/>
              <w:jc w:val="center"/>
              <w:rPr>
                <w:rFonts w:hint="eastAsia"/>
                <w:sz w:val="20"/>
                <w:szCs w:val="20"/>
              </w:rPr>
            </w:pPr>
            <w:r>
              <w:rPr>
                <w:rFonts w:hint="eastAsia"/>
                <w:sz w:val="20"/>
                <w:szCs w:val="20"/>
              </w:rPr>
              <w:t>……</w:t>
            </w:r>
          </w:p>
          <w:p>
            <w:pPr>
              <w:keepNext w:val="0"/>
              <w:keepLines w:val="0"/>
              <w:widowControl w:val="0"/>
              <w:suppressLineNumbers w:val="0"/>
              <w:autoSpaceDE/>
              <w:autoSpaceDN/>
              <w:adjustRightInd/>
              <w:snapToGrid/>
              <w:spacing w:before="0" w:beforeAutospacing="0" w:after="180" w:afterAutospacing="0"/>
              <w:ind w:left="0" w:right="0"/>
              <w:jc w:val="left"/>
              <w:rPr>
                <w:rFonts w:hint="eastAsia" w:eastAsia="Times New Roman"/>
                <w:sz w:val="20"/>
                <w:szCs w:val="20"/>
                <w:lang w:val="en-US"/>
              </w:rPr>
            </w:pPr>
            <w:r>
              <w:rPr>
                <w:rFonts w:hint="eastAsia" w:eastAsia="Malgun Gothic"/>
                <w:sz w:val="20"/>
                <w:szCs w:val="20"/>
                <w:lang w:val="en-GB"/>
              </w:rPr>
              <w:t xml:space="preserve">When a UE applies Type 1 channel access procedures to transmit SL transmission(s) including </w:t>
            </w:r>
            <w:r>
              <w:rPr>
                <w:rFonts w:hint="eastAsia" w:eastAsia="宋体"/>
                <w:color w:val="FF0000"/>
                <w:sz w:val="20"/>
                <w:szCs w:val="20"/>
                <w:lang w:val="en-US" w:eastAsia="zh-CN"/>
              </w:rPr>
              <w:t>only</w:t>
            </w:r>
            <w:r>
              <w:rPr>
                <w:rFonts w:hint="eastAsia" w:eastAsia="宋体"/>
                <w:sz w:val="20"/>
                <w:szCs w:val="20"/>
                <w:lang w:val="en-US" w:eastAsia="zh-CN"/>
              </w:rPr>
              <w:t xml:space="preserve"> </w:t>
            </w:r>
            <w:r>
              <w:rPr>
                <w:rFonts w:hint="eastAsia" w:eastAsia="Malgun Gothic"/>
                <w:sz w:val="20"/>
                <w:szCs w:val="20"/>
                <w:lang w:val="en-GB"/>
              </w:rPr>
              <w:t xml:space="preserve">PSFCH or </w:t>
            </w:r>
            <w:r>
              <w:rPr>
                <w:rFonts w:hint="eastAsia" w:eastAsia="宋体"/>
                <w:color w:val="FF0000"/>
                <w:sz w:val="20"/>
                <w:szCs w:val="20"/>
                <w:lang w:val="en-US" w:eastAsia="zh-CN"/>
              </w:rPr>
              <w:t>only</w:t>
            </w:r>
            <w:r>
              <w:rPr>
                <w:rFonts w:hint="eastAsia" w:eastAsia="宋体"/>
                <w:sz w:val="20"/>
                <w:szCs w:val="20"/>
                <w:lang w:val="en-US" w:eastAsia="zh-CN"/>
              </w:rPr>
              <w:t xml:space="preserve"> </w:t>
            </w:r>
            <w:r>
              <w:rPr>
                <w:rFonts w:hint="eastAsia" w:eastAsia="Malgun Gothic"/>
                <w:sz w:val="20"/>
                <w:szCs w:val="20"/>
                <w:lang w:val="en-GB"/>
              </w:rPr>
              <w:t>S-SSB</w:t>
            </w:r>
            <w:r>
              <w:rPr>
                <w:rFonts w:hint="eastAsia" w:eastAsia="Times New Roman"/>
                <w:sz w:val="20"/>
                <w:szCs w:val="20"/>
                <w:lang w:val="en-GB"/>
              </w:rPr>
              <w:t xml:space="preserve"> transmission(s), the UE shall use</w:t>
            </w:r>
            <w:r>
              <w:rPr>
                <w:rFonts w:hint="eastAsia" w:eastAsia="Times New Roman"/>
                <w:sz w:val="20"/>
                <w:szCs w:val="20"/>
                <w:lang w:val="en-US"/>
              </w:rPr>
              <w:t xml:space="preserve"> the channel access priority class </w:t>
            </w:r>
            <m:oMath>
              <m:r>
                <w:rPr>
                  <w:rFonts w:hint="eastAsia" w:ascii="Cambria Math" w:hAnsi="Cambria Math"/>
                </w:rPr>
                <m:t>p</m:t>
              </m:r>
              <m:r>
                <w:rPr>
                  <w:rFonts w:hint="eastAsia" w:ascii="Cambria Math" w:hAnsi="Cambria Math"/>
                  <w:lang w:val="en-US"/>
                </w:rPr>
                <m:t>=1</m:t>
              </m:r>
            </m:oMath>
            <w:r>
              <w:rPr>
                <w:rFonts w:hint="eastAsia" w:eastAsia="Times New Roman"/>
                <w:sz w:val="20"/>
                <w:szCs w:val="20"/>
                <w:lang w:val="en-US"/>
              </w:rPr>
              <w:t xml:space="preserve"> in Table 4.5-1.</w:t>
            </w:r>
          </w:p>
          <w:p>
            <w:pPr>
              <w:keepNext w:val="0"/>
              <w:keepLines w:val="0"/>
              <w:widowControl w:val="0"/>
              <w:suppressLineNumbers w:val="0"/>
              <w:autoSpaceDE/>
              <w:autoSpaceDN/>
              <w:adjustRightInd/>
              <w:snapToGrid/>
              <w:spacing w:before="0" w:beforeAutospacing="0" w:after="180" w:afterAutospacing="0"/>
              <w:ind w:left="0" w:right="0"/>
              <w:jc w:val="left"/>
              <w:rPr>
                <w:rFonts w:hint="eastAsia" w:eastAsia="Times New Roman"/>
                <w:sz w:val="20"/>
                <w:szCs w:val="20"/>
                <w:lang w:val="en-US"/>
              </w:rPr>
            </w:pPr>
            <w:r>
              <w:rPr>
                <w:rFonts w:hint="eastAsia" w:eastAsia="Malgun Gothic"/>
                <w:sz w:val="20"/>
                <w:szCs w:val="20"/>
                <w:lang w:val="en-GB"/>
              </w:rPr>
              <w:t>When a UE applies Type 1 channel access procedures to transmit SL transmission(s) including</w:t>
            </w:r>
            <w:r>
              <w:rPr>
                <w:rFonts w:hint="eastAsia" w:eastAsia="宋体"/>
                <w:sz w:val="20"/>
                <w:szCs w:val="20"/>
                <w:lang w:val="en-US" w:eastAsia="zh-CN"/>
              </w:rPr>
              <w:t xml:space="preserve"> </w:t>
            </w:r>
            <w:r>
              <w:rPr>
                <w:rFonts w:hint="eastAsia" w:eastAsia="Malgun Gothic"/>
                <w:sz w:val="20"/>
                <w:szCs w:val="20"/>
                <w:lang w:val="en-GB"/>
              </w:rPr>
              <w:t>PSFCH or S-SSB</w:t>
            </w:r>
            <w:r>
              <w:rPr>
                <w:rFonts w:hint="eastAsia" w:eastAsia="Times New Roman"/>
                <w:sz w:val="20"/>
                <w:szCs w:val="20"/>
                <w:lang w:val="en-GB"/>
              </w:rPr>
              <w:t xml:space="preserve"> transmission(s), the UE </w:t>
            </w:r>
            <w:r>
              <w:rPr>
                <w:rFonts w:hint="eastAsia" w:eastAsia="宋体"/>
                <w:strike/>
                <w:dstrike w:val="0"/>
                <w:sz w:val="20"/>
                <w:szCs w:val="20"/>
                <w:lang w:val="en-US" w:eastAsia="zh-CN"/>
              </w:rPr>
              <w:t xml:space="preserve">shall </w:t>
            </w:r>
            <w:r>
              <w:rPr>
                <w:rFonts w:hint="eastAsia" w:eastAsia="宋体"/>
                <w:color w:val="FF0000"/>
                <w:sz w:val="20"/>
                <w:szCs w:val="20"/>
                <w:lang w:val="en-US" w:eastAsia="zh-CN"/>
              </w:rPr>
              <w:t>may</w:t>
            </w:r>
            <w:r>
              <w:rPr>
                <w:rFonts w:hint="eastAsia" w:eastAsia="Times New Roman"/>
                <w:sz w:val="20"/>
                <w:szCs w:val="20"/>
                <w:lang w:val="en-GB"/>
              </w:rPr>
              <w:t xml:space="preserve"> use</w:t>
            </w:r>
            <w:r>
              <w:rPr>
                <w:rFonts w:hint="eastAsia" w:eastAsia="Times New Roman"/>
                <w:sz w:val="20"/>
                <w:szCs w:val="20"/>
                <w:lang w:val="en-US"/>
              </w:rPr>
              <w:t xml:space="preserve"> </w:t>
            </w:r>
            <w:r>
              <w:rPr>
                <w:rFonts w:hint="eastAsia" w:eastAsia="Times New Roman"/>
                <w:strike/>
                <w:dstrike w:val="0"/>
                <w:sz w:val="20"/>
                <w:szCs w:val="20"/>
                <w:lang w:val="en-US"/>
              </w:rPr>
              <w:t xml:space="preserve">the </w:t>
            </w:r>
            <w:r>
              <w:rPr>
                <w:rFonts w:hint="eastAsia" w:eastAsia="宋体"/>
                <w:color w:val="FF0000"/>
                <w:sz w:val="20"/>
                <w:szCs w:val="20"/>
                <w:lang w:val="en-US" w:eastAsia="zh-CN"/>
              </w:rPr>
              <w:t>any</w:t>
            </w:r>
            <w:r>
              <w:rPr>
                <w:rFonts w:hint="eastAsia" w:eastAsia="宋体"/>
                <w:sz w:val="20"/>
                <w:szCs w:val="20"/>
                <w:lang w:val="en-US" w:eastAsia="zh-CN"/>
              </w:rPr>
              <w:t xml:space="preserve"> </w:t>
            </w:r>
            <w:r>
              <w:rPr>
                <w:rFonts w:hint="eastAsia" w:eastAsia="Times New Roman"/>
                <w:sz w:val="20"/>
                <w:szCs w:val="20"/>
                <w:lang w:val="en-US"/>
              </w:rPr>
              <w:t xml:space="preserve">channel access priority class </w:t>
            </w:r>
            <m:oMath>
              <m:r>
                <w:rPr>
                  <w:rFonts w:hint="eastAsia" w:ascii="Cambria Math" w:hAnsi="Cambria Math"/>
                  <w:strike/>
                  <w:dstrike w:val="0"/>
                </w:rPr>
                <m:t>p</m:t>
              </m:r>
              <m:r>
                <w:rPr>
                  <w:rFonts w:hint="eastAsia" w:ascii="Cambria Math" w:hAnsi="Cambria Math"/>
                  <w:strike/>
                  <w:dstrike w:val="0"/>
                  <w:lang w:val="en-US"/>
                </w:rPr>
                <m:t>=1</m:t>
              </m:r>
            </m:oMath>
            <w:r>
              <w:rPr>
                <w:rFonts w:hint="eastAsia" w:eastAsia="Times New Roman"/>
                <w:strike/>
                <w:dstrike w:val="0"/>
                <w:sz w:val="20"/>
                <w:szCs w:val="20"/>
                <w:lang w:val="en-US"/>
              </w:rPr>
              <w:t xml:space="preserve"> </w:t>
            </w:r>
            <w:r>
              <w:rPr>
                <w:rFonts w:hint="eastAsia" w:eastAsia="Times New Roman"/>
                <w:sz w:val="20"/>
                <w:szCs w:val="20"/>
                <w:lang w:val="en-US"/>
              </w:rPr>
              <w:t>in Table 4.5-1.</w:t>
            </w:r>
          </w:p>
          <w:p>
            <w:pPr>
              <w:keepNext w:val="0"/>
              <w:keepLines w:val="0"/>
              <w:widowControl w:val="0"/>
              <w:suppressLineNumbers w:val="0"/>
              <w:spacing w:before="0" w:beforeAutospacing="0" w:afterAutospacing="0"/>
              <w:ind w:left="0" w:right="0"/>
              <w:jc w:val="center"/>
              <w:rPr>
                <w:rFonts w:hint="eastAsia" w:eastAsia="Malgun Gothic"/>
                <w:color w:val="000000" w:themeColor="text1"/>
                <w14:textFill>
                  <w14:solidFill>
                    <w14:schemeClr w14:val="tx1"/>
                  </w14:solidFill>
                </w14:textFill>
              </w:rPr>
            </w:pPr>
            <w:r>
              <w:rPr>
                <w:rFonts w:hint="eastAsia"/>
                <w:sz w:val="20"/>
                <w:szCs w:val="20"/>
              </w:rPr>
              <w:t>……</w:t>
            </w:r>
          </w:p>
          <w:p>
            <w:pPr>
              <w:keepNext w:val="0"/>
              <w:keepLines w:val="0"/>
              <w:widowControl w:val="0"/>
              <w:suppressLineNumbers w:val="0"/>
              <w:spacing w:before="0" w:beforeAutospacing="0" w:afterAutospacing="0"/>
              <w:ind w:left="0" w:right="0"/>
              <w:jc w:val="center"/>
              <w:rPr>
                <w:rFonts w:hint="eastAsia" w:eastAsia="Malgun Gothic"/>
                <w:color w:val="000000" w:themeColor="text1"/>
                <w:lang w:val="en-US" w:eastAsia="zh-CN"/>
                <w14:textFill>
                  <w14:solidFill>
                    <w14:schemeClr w14:val="tx1"/>
                  </w14:solidFill>
                </w14:textFill>
              </w:rPr>
            </w:pPr>
            <w:r>
              <w:rPr>
                <w:rFonts w:hint="eastAsia" w:eastAsia="等线"/>
                <w:kern w:val="2"/>
                <w:lang w:eastAsia="zh-CN"/>
              </w:rPr>
              <w:t>=====End of Draft TP=====</w:t>
            </w:r>
          </w:p>
        </w:tc>
      </w:tr>
    </w:tbl>
    <w:p>
      <w:pPr>
        <w:rPr>
          <w:rFonts w:hint="eastAsia"/>
          <w:b/>
          <w:bCs w:val="0"/>
          <w:i/>
          <w:iCs w:val="0"/>
          <w:szCs w:val="20"/>
          <w:lang w:val="en-US" w:eastAsia="zh-CN"/>
        </w:rPr>
      </w:pPr>
    </w:p>
    <w:p>
      <w:pPr>
        <w:rPr>
          <w:rFonts w:hint="eastAsia"/>
          <w:b/>
          <w:bCs/>
          <w:i/>
          <w:iCs/>
          <w:lang w:val="en-US" w:eastAsia="zh-CN"/>
        </w:rPr>
      </w:pPr>
      <w:r>
        <w:rPr>
          <w:rFonts w:hint="eastAsia"/>
          <w:b/>
          <w:bCs/>
          <w:i/>
          <w:iCs/>
          <w:lang w:val="en-US" w:eastAsia="zh-CN"/>
        </w:rPr>
        <w:t>Proposal 4: 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pPr>
        <w:rPr>
          <w:rFonts w:hint="default" w:eastAsia="宋体"/>
          <w:b/>
          <w:bCs/>
          <w:i/>
          <w:iCs/>
          <w:lang w:val="en-US" w:eastAsia="zh-CN"/>
        </w:rPr>
      </w:pPr>
      <w:r>
        <w:rPr>
          <w:rFonts w:hint="eastAsia"/>
          <w:b/>
          <w:bCs/>
          <w:i/>
          <w:iCs/>
          <w:lang w:val="en-US" w:eastAsia="zh-CN"/>
        </w:rPr>
        <w:t xml:space="preserve">Proposal </w:t>
      </w:r>
      <w:r>
        <w:rPr>
          <w:rFonts w:hint="eastAsia"/>
          <w:b/>
          <w:bCs/>
          <w:i/>
          <w:iCs/>
          <w:highlight w:val="none"/>
          <w:lang w:val="en-US" w:eastAsia="zh-CN"/>
        </w:rPr>
        <w:t>5</w:t>
      </w:r>
      <w:r>
        <w:rPr>
          <w:rFonts w:hint="eastAsia"/>
          <w:b/>
          <w:bCs/>
          <w:i/>
          <w:iCs/>
          <w:lang w:val="en-US" w:eastAsia="zh-CN"/>
        </w:rPr>
        <w:t>: The NR-U DL multi-channel access procedure should be used as baseline for the transmission of S-SSB for multiple SSB transmissions on multiple channels.</w:t>
      </w:r>
    </w:p>
    <w:p>
      <w:pPr>
        <w:rPr>
          <w:rFonts w:hint="eastAsia"/>
          <w:b/>
          <w:bCs w:val="0"/>
          <w:i/>
          <w:iCs w:val="0"/>
          <w:szCs w:val="20"/>
          <w:lang w:val="en-US" w:eastAsia="zh-CN"/>
        </w:rPr>
      </w:pPr>
      <w:bookmarkStart w:id="21" w:name="_GoBack"/>
      <w:bookmarkEnd w:id="21"/>
    </w:p>
    <w:bookmarkEnd w:id="15"/>
    <w:bookmarkEnd w:id="16"/>
    <w:bookmarkEnd w:id="17"/>
    <w:bookmarkEnd w:id="18"/>
    <w:bookmarkEnd w:id="19"/>
    <w:bookmarkEnd w:id="20"/>
    <w:p>
      <w:pPr>
        <w:pStyle w:val="2"/>
      </w:pPr>
      <w:r>
        <w:t>Reference</w:t>
      </w:r>
    </w:p>
    <w:bookmarkEnd w:id="1"/>
    <w:p>
      <w:pPr>
        <w:pStyle w:val="55"/>
        <w:numPr>
          <w:ilvl w:val="0"/>
          <w:numId w:val="15"/>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55"/>
        <w:numPr>
          <w:ilvl w:val="0"/>
          <w:numId w:val="15"/>
        </w:numPr>
        <w:ind w:firstLineChars="0"/>
        <w:jc w:val="left"/>
        <w:rPr>
          <w:lang w:eastAsia="zh-CN"/>
        </w:rPr>
      </w:pPr>
      <w:r>
        <w:rPr>
          <w:rFonts w:hint="default"/>
          <w:b w:val="0"/>
          <w:bCs/>
          <w:i w:val="0"/>
          <w:iCs/>
          <w:szCs w:val="20"/>
          <w:lang w:val="en-US" w:eastAsia="zh-CN"/>
        </w:rPr>
        <w:t>ETSI EN 301 893</w:t>
      </w:r>
    </w:p>
    <w:p>
      <w:pPr>
        <w:pStyle w:val="55"/>
        <w:numPr>
          <w:ilvl w:val="0"/>
          <w:numId w:val="15"/>
        </w:numPr>
        <w:ind w:left="0" w:firstLine="0" w:firstLineChars="0"/>
        <w:jc w:val="left"/>
        <w:rPr>
          <w:lang w:eastAsia="zh-CN"/>
        </w:rPr>
      </w:pPr>
      <w:r>
        <w:rPr>
          <w:rFonts w:hint="eastAsia"/>
          <w:lang w:val="en-US" w:eastAsia="zh-CN"/>
        </w:rPr>
        <w:t>Draft_Minutes_report_RAN1#111_v020, 2022-11</w:t>
      </w:r>
    </w:p>
    <w:p>
      <w:pPr>
        <w:pStyle w:val="55"/>
        <w:numPr>
          <w:ilvl w:val="0"/>
          <w:numId w:val="15"/>
        </w:numPr>
        <w:ind w:left="0" w:firstLine="0" w:firstLineChars="0"/>
        <w:jc w:val="left"/>
        <w:rPr>
          <w:lang w:eastAsia="zh-CN"/>
        </w:rPr>
      </w:pPr>
      <w:r>
        <w:rPr>
          <w:rFonts w:hint="eastAsia"/>
          <w:lang w:val="en-US" w:eastAsia="zh-CN"/>
        </w:rPr>
        <w:t>Draft_Minutes_report_RAN1#112_v020, 2023-03</w:t>
      </w:r>
    </w:p>
    <w:p>
      <w:pPr>
        <w:pStyle w:val="55"/>
        <w:numPr>
          <w:ilvl w:val="0"/>
          <w:numId w:val="15"/>
        </w:numPr>
        <w:ind w:firstLineChars="0"/>
        <w:jc w:val="left"/>
        <w:rPr>
          <w:lang w:eastAsia="zh-CN"/>
        </w:rPr>
      </w:pPr>
      <w:r>
        <w:rPr>
          <w:rFonts w:hint="eastAsia"/>
          <w:lang w:val="en-US" w:eastAsia="zh-CN"/>
        </w:rPr>
        <w:t>R1-2303975</w:t>
      </w:r>
      <w:r>
        <w:rPr>
          <w:rFonts w:hint="eastAsia"/>
          <w:lang w:val="en-US" w:eastAsia="zh-CN"/>
        </w:rPr>
        <w:tab/>
      </w:r>
      <w:r>
        <w:rPr>
          <w:rFonts w:hint="eastAsia"/>
          <w:lang w:val="en-US" w:eastAsia="zh-CN"/>
        </w:rPr>
        <w:t>FL summary for AI 9.4.1.1: SL-U channel access mechanism (EOM),</w:t>
      </w:r>
      <w:r>
        <w:rPr>
          <w:rFonts w:hint="eastAsia"/>
          <w:lang w:val="en-US" w:eastAsia="zh-CN"/>
        </w:rPr>
        <w:tab/>
      </w:r>
      <w:r>
        <w:rPr>
          <w:rFonts w:hint="eastAsia"/>
          <w:lang w:val="en-US" w:eastAsia="zh-CN"/>
        </w:rPr>
        <w:t>OPPO</w:t>
      </w: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533F4"/>
    <w:multiLevelType w:val="singleLevel"/>
    <w:tmpl w:val="918533F4"/>
    <w:lvl w:ilvl="0" w:tentative="0">
      <w:start w:val="1"/>
      <w:numFmt w:val="bullet"/>
      <w:lvlText w:val=""/>
      <w:lvlJc w:val="left"/>
      <w:pPr>
        <w:ind w:left="420" w:hanging="420"/>
      </w:pPr>
      <w:rPr>
        <w:rFonts w:hint="default" w:ascii="Wingdings" w:hAnsi="Wingdings"/>
      </w:rPr>
    </w:lvl>
  </w:abstractNum>
  <w:abstractNum w:abstractNumId="1">
    <w:nsid w:val="02BE73B2"/>
    <w:multiLevelType w:val="multilevel"/>
    <w:tmpl w:val="02BE73B2"/>
    <w:lvl w:ilvl="0" w:tentative="0">
      <w:start w:val="0"/>
      <w:numFmt w:val="bullet"/>
      <w:lvlText w:val=""/>
      <w:lvlJc w:val="left"/>
      <w:pPr>
        <w:ind w:left="720" w:hanging="360"/>
      </w:pPr>
      <w:rPr>
        <w:rFonts w:hint="default" w:ascii="Wingdings" w:hAnsi="Wingdings" w:eastAsia="Batang"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ECB426C"/>
    <w:multiLevelType w:val="multilevel"/>
    <w:tmpl w:val="0ECB426C"/>
    <w:lvl w:ilvl="0" w:tentative="0">
      <w:start w:val="0"/>
      <w:numFmt w:val="bullet"/>
      <w:lvlText w:val=""/>
      <w:lvlJc w:val="left"/>
      <w:pPr>
        <w:tabs>
          <w:tab w:val="left" w:pos="0"/>
        </w:tabs>
        <w:ind w:left="720" w:hanging="360"/>
      </w:pPr>
      <w:rPr>
        <w:rFonts w:hint="default" w:ascii="Symbol" w:hAnsi="Symbol" w:eastAsia="Batang" w:cs="Calibri"/>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274FE7"/>
    <w:multiLevelType w:val="multilevel"/>
    <w:tmpl w:val="7F274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0"/>
  </w:num>
  <w:num w:numId="3">
    <w:abstractNumId w:val="6"/>
  </w:num>
  <w:num w:numId="4">
    <w:abstractNumId w:val="11"/>
  </w:num>
  <w:num w:numId="5">
    <w:abstractNumId w:val="12"/>
  </w:num>
  <w:num w:numId="6">
    <w:abstractNumId w:val="8"/>
  </w:num>
  <w:num w:numId="7">
    <w:abstractNumId w:val="13"/>
  </w:num>
  <w:num w:numId="8">
    <w:abstractNumId w:val="9"/>
  </w:num>
  <w:num w:numId="9">
    <w:abstractNumId w:val="7"/>
  </w:num>
  <w:num w:numId="10">
    <w:abstractNumId w:val="2"/>
  </w:num>
  <w:num w:numId="11">
    <w:abstractNumId w:val="0"/>
  </w:num>
  <w:num w:numId="12">
    <w:abstractNumId w:val="1"/>
  </w:num>
  <w:num w:numId="13">
    <w:abstractNumId w:val="3"/>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C4B0E93"/>
    <w:rsid w:val="0E225C58"/>
    <w:rsid w:val="0E6911DF"/>
    <w:rsid w:val="0EC4383D"/>
    <w:rsid w:val="0FF52C16"/>
    <w:rsid w:val="10A80B60"/>
    <w:rsid w:val="119F406C"/>
    <w:rsid w:val="139E1370"/>
    <w:rsid w:val="14283870"/>
    <w:rsid w:val="16881E22"/>
    <w:rsid w:val="16896A50"/>
    <w:rsid w:val="192E0655"/>
    <w:rsid w:val="197E1E30"/>
    <w:rsid w:val="1ADF4FC4"/>
    <w:rsid w:val="1B6D049A"/>
    <w:rsid w:val="1D233F3F"/>
    <w:rsid w:val="1D885B45"/>
    <w:rsid w:val="1E3F33CA"/>
    <w:rsid w:val="1F4B31FF"/>
    <w:rsid w:val="1FE60956"/>
    <w:rsid w:val="220C2222"/>
    <w:rsid w:val="23602280"/>
    <w:rsid w:val="24164F9F"/>
    <w:rsid w:val="283369D9"/>
    <w:rsid w:val="298441EF"/>
    <w:rsid w:val="2B7E5FB4"/>
    <w:rsid w:val="2C84203A"/>
    <w:rsid w:val="2C876C12"/>
    <w:rsid w:val="2D346D5E"/>
    <w:rsid w:val="2D6E7958"/>
    <w:rsid w:val="2E3E13E7"/>
    <w:rsid w:val="2E7349E0"/>
    <w:rsid w:val="2F29409D"/>
    <w:rsid w:val="31C52518"/>
    <w:rsid w:val="31DE45D1"/>
    <w:rsid w:val="34382BF7"/>
    <w:rsid w:val="34F02636"/>
    <w:rsid w:val="35A345E4"/>
    <w:rsid w:val="36C571C3"/>
    <w:rsid w:val="37DC2534"/>
    <w:rsid w:val="385910DC"/>
    <w:rsid w:val="3CF87929"/>
    <w:rsid w:val="3D1A31D5"/>
    <w:rsid w:val="40E64C03"/>
    <w:rsid w:val="43B92A18"/>
    <w:rsid w:val="45ED6C35"/>
    <w:rsid w:val="47004D5B"/>
    <w:rsid w:val="47A46C49"/>
    <w:rsid w:val="48792000"/>
    <w:rsid w:val="48B03A9C"/>
    <w:rsid w:val="48C33C84"/>
    <w:rsid w:val="4A0F5398"/>
    <w:rsid w:val="4A247D73"/>
    <w:rsid w:val="4A5563BA"/>
    <w:rsid w:val="4EE31812"/>
    <w:rsid w:val="511B2E45"/>
    <w:rsid w:val="51A6413F"/>
    <w:rsid w:val="557D7CF0"/>
    <w:rsid w:val="568D08AA"/>
    <w:rsid w:val="57832449"/>
    <w:rsid w:val="57896873"/>
    <w:rsid w:val="58A36C07"/>
    <w:rsid w:val="5AD73495"/>
    <w:rsid w:val="5B8C599C"/>
    <w:rsid w:val="5FE404A4"/>
    <w:rsid w:val="61F1064B"/>
    <w:rsid w:val="620A281A"/>
    <w:rsid w:val="62E36ECA"/>
    <w:rsid w:val="643111CD"/>
    <w:rsid w:val="68E32000"/>
    <w:rsid w:val="68E450C8"/>
    <w:rsid w:val="69065363"/>
    <w:rsid w:val="6AC8766D"/>
    <w:rsid w:val="6B6A27A4"/>
    <w:rsid w:val="6DFF249A"/>
    <w:rsid w:val="6E4F0843"/>
    <w:rsid w:val="70A23833"/>
    <w:rsid w:val="70DC11F3"/>
    <w:rsid w:val="71881DE0"/>
    <w:rsid w:val="71F37DF8"/>
    <w:rsid w:val="72E826E6"/>
    <w:rsid w:val="7338000B"/>
    <w:rsid w:val="745E0D6E"/>
    <w:rsid w:val="75F13A79"/>
    <w:rsid w:val="78F66947"/>
    <w:rsid w:val="7ADD3110"/>
    <w:rsid w:val="7B6244CD"/>
    <w:rsid w:val="7CD65923"/>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1</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2023-11-03T02:37:55Z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